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224" w:rsidRPr="00F76AED" w:rsidRDefault="00E94224" w:rsidP="00162626">
      <w:pPr>
        <w:tabs>
          <w:tab w:val="left" w:pos="567"/>
        </w:tabs>
        <w:spacing w:after="0"/>
        <w:jc w:val="center"/>
        <w:rPr>
          <w:rFonts w:ascii="Century Gothic" w:hAnsi="Century Gothic" w:cs="Calibri"/>
          <w:b/>
          <w:color w:val="000000"/>
          <w:sz w:val="20"/>
          <w:szCs w:val="20"/>
          <w:lang w:val="id-ID"/>
        </w:rPr>
      </w:pPr>
      <w:r w:rsidRPr="00F76AED">
        <w:rPr>
          <w:rFonts w:ascii="Century Gothic" w:hAnsi="Century Gothic" w:cs="Calibri"/>
          <w:b/>
          <w:color w:val="000000"/>
          <w:sz w:val="20"/>
          <w:szCs w:val="20"/>
          <w:lang w:val="id-ID"/>
        </w:rPr>
        <w:t xml:space="preserve"> </w:t>
      </w:r>
    </w:p>
    <w:p w:rsidR="00782340" w:rsidRPr="00F76AED" w:rsidRDefault="00782340" w:rsidP="00162626">
      <w:pPr>
        <w:tabs>
          <w:tab w:val="left" w:pos="567"/>
          <w:tab w:val="left" w:pos="1646"/>
          <w:tab w:val="center" w:pos="4680"/>
        </w:tabs>
        <w:spacing w:after="0"/>
        <w:ind w:right="1280"/>
        <w:jc w:val="right"/>
        <w:rPr>
          <w:rFonts w:ascii="Century Gothic" w:hAnsi="Century Gothic" w:cs="Calibri"/>
          <w:b/>
          <w:color w:val="000000"/>
          <w:sz w:val="20"/>
          <w:szCs w:val="20"/>
        </w:rPr>
      </w:pPr>
    </w:p>
    <w:p w:rsidR="001B6A82" w:rsidRPr="00F76AED" w:rsidRDefault="001B6A82" w:rsidP="00162626">
      <w:pPr>
        <w:tabs>
          <w:tab w:val="left" w:pos="567"/>
          <w:tab w:val="left" w:pos="1646"/>
          <w:tab w:val="center" w:pos="4680"/>
        </w:tabs>
        <w:spacing w:after="0"/>
        <w:ind w:right="1280"/>
        <w:rPr>
          <w:rFonts w:ascii="Century Gothic" w:hAnsi="Century Gothic" w:cs="Calibri"/>
          <w:b/>
          <w:color w:val="000000"/>
          <w:sz w:val="20"/>
          <w:szCs w:val="20"/>
        </w:rPr>
      </w:pPr>
    </w:p>
    <w:p w:rsidR="00517447" w:rsidRDefault="00517447" w:rsidP="00543804">
      <w:pPr>
        <w:tabs>
          <w:tab w:val="left" w:pos="567"/>
          <w:tab w:val="left" w:pos="1646"/>
          <w:tab w:val="center" w:pos="4680"/>
        </w:tabs>
        <w:spacing w:after="120"/>
        <w:ind w:right="1280"/>
        <w:rPr>
          <w:rFonts w:ascii="Century Gothic" w:hAnsi="Century Gothic" w:cs="Calibri"/>
          <w:b/>
          <w:color w:val="000000"/>
          <w:sz w:val="36"/>
          <w:szCs w:val="36"/>
        </w:rPr>
      </w:pPr>
    </w:p>
    <w:p w:rsidR="00B776AC" w:rsidRDefault="00B776AC" w:rsidP="00B776AC">
      <w:pPr>
        <w:pStyle w:val="Heading1"/>
        <w:rPr>
          <w:rFonts w:ascii="Century Gothic" w:hAnsi="Century Gothic"/>
          <w:color w:val="548DD4" w:themeColor="text2" w:themeTint="99"/>
          <w:sz w:val="28"/>
          <w:szCs w:val="28"/>
        </w:rPr>
      </w:pPr>
    </w:p>
    <w:p w:rsidR="00B776AC" w:rsidRPr="001C3439" w:rsidRDefault="00B776AC" w:rsidP="00B776AC">
      <w:pPr>
        <w:pStyle w:val="Heading1"/>
        <w:rPr>
          <w:rFonts w:ascii="Century Gothic" w:hAnsi="Century Gothic"/>
          <w:color w:val="548DD4" w:themeColor="text2" w:themeTint="99"/>
          <w:sz w:val="36"/>
          <w:szCs w:val="36"/>
        </w:rPr>
      </w:pPr>
      <w:r w:rsidRPr="001C3439">
        <w:rPr>
          <w:rFonts w:ascii="Century Gothic" w:hAnsi="Century Gothic"/>
          <w:color w:val="548DD4" w:themeColor="text2" w:themeTint="99"/>
          <w:sz w:val="28"/>
          <w:szCs w:val="28"/>
        </w:rPr>
        <w:t>BAB</w:t>
      </w:r>
      <w:r w:rsidRPr="001C3439">
        <w:rPr>
          <w:rFonts w:ascii="Century Gothic" w:hAnsi="Century Gothic"/>
          <w:color w:val="548DD4" w:themeColor="text2" w:themeTint="99"/>
          <w:sz w:val="36"/>
          <w:szCs w:val="36"/>
        </w:rPr>
        <w:t xml:space="preserve">  </w:t>
      </w:r>
      <w:r>
        <w:rPr>
          <w:rFonts w:ascii="Arial Black" w:hAnsi="Arial Black"/>
          <w:color w:val="548DD4" w:themeColor="text2" w:themeTint="99"/>
          <w:sz w:val="96"/>
          <w:szCs w:val="96"/>
        </w:rPr>
        <w:t>3</w:t>
      </w:r>
      <w:bookmarkStart w:id="0" w:name="_GoBack"/>
      <w:bookmarkEnd w:id="0"/>
    </w:p>
    <w:p w:rsidR="000E22AB" w:rsidRPr="00D62E1C" w:rsidRDefault="000E22AB" w:rsidP="00D62E1C">
      <w:pPr>
        <w:pStyle w:val="Heading1"/>
        <w:jc w:val="left"/>
        <w:rPr>
          <w:rFonts w:ascii="Arial Black" w:hAnsi="Arial Black"/>
          <w:noProof/>
          <w:spacing w:val="-8"/>
          <w:sz w:val="34"/>
          <w:szCs w:val="34"/>
          <w:lang w:val="id-ID"/>
        </w:rPr>
      </w:pPr>
      <w:r w:rsidRPr="00D62E1C">
        <w:rPr>
          <w:rFonts w:ascii="Arial Black" w:hAnsi="Arial Black"/>
          <w:noProof/>
          <w:spacing w:val="-8"/>
          <w:sz w:val="34"/>
          <w:szCs w:val="34"/>
          <w:lang w:val="id-ID"/>
        </w:rPr>
        <w:t xml:space="preserve">RANCANGAN KERANGKA EKONOMI DAERAH DAN KEBIJAKAN KEUANGAN DAERAH </w:t>
      </w:r>
    </w:p>
    <w:p w:rsidR="000E22AB" w:rsidRPr="00F76AED" w:rsidRDefault="000E22AB" w:rsidP="00162626">
      <w:pPr>
        <w:autoSpaceDE w:val="0"/>
        <w:autoSpaceDN w:val="0"/>
        <w:adjustRightInd w:val="0"/>
        <w:spacing w:after="0" w:line="360" w:lineRule="auto"/>
        <w:jc w:val="both"/>
        <w:rPr>
          <w:rFonts w:ascii="Century Gothic" w:hAnsi="Century Gothic"/>
          <w:sz w:val="20"/>
          <w:szCs w:val="20"/>
          <w:shd w:val="clear" w:color="auto" w:fill="FFFFFF"/>
        </w:rPr>
      </w:pPr>
    </w:p>
    <w:p w:rsidR="00D57F26" w:rsidRPr="00F76AED" w:rsidRDefault="000E22AB" w:rsidP="00162626">
      <w:pPr>
        <w:autoSpaceDE w:val="0"/>
        <w:autoSpaceDN w:val="0"/>
        <w:adjustRightInd w:val="0"/>
        <w:spacing w:after="0" w:line="360" w:lineRule="auto"/>
        <w:ind w:firstLine="720"/>
        <w:jc w:val="both"/>
        <w:rPr>
          <w:rFonts w:ascii="Century Gothic" w:hAnsi="Century Gothic" w:cs="Calibri"/>
          <w:b/>
          <w:color w:val="000000"/>
          <w:sz w:val="20"/>
          <w:szCs w:val="20"/>
        </w:rPr>
      </w:pPr>
      <w:r w:rsidRPr="00517447">
        <w:rPr>
          <w:rFonts w:ascii="Century Gothic" w:hAnsi="Century Gothic"/>
          <w:sz w:val="20"/>
          <w:szCs w:val="20"/>
          <w:shd w:val="clear" w:color="auto" w:fill="FFFFFF"/>
        </w:rPr>
        <w:t xml:space="preserve">Setiap kenaikan atau penurunan laju pertumbuhan ekonomi dan inflasi daerah </w:t>
      </w:r>
      <w:proofErr w:type="gramStart"/>
      <w:r w:rsidRPr="00517447">
        <w:rPr>
          <w:rFonts w:ascii="Century Gothic" w:hAnsi="Century Gothic"/>
          <w:sz w:val="20"/>
          <w:szCs w:val="20"/>
          <w:shd w:val="clear" w:color="auto" w:fill="FFFFFF"/>
        </w:rPr>
        <w:t>akan</w:t>
      </w:r>
      <w:proofErr w:type="gramEnd"/>
      <w:r w:rsidRPr="00517447">
        <w:rPr>
          <w:rFonts w:ascii="Century Gothic" w:hAnsi="Century Gothic"/>
          <w:sz w:val="20"/>
          <w:szCs w:val="20"/>
          <w:shd w:val="clear" w:color="auto" w:fill="FFFFFF"/>
        </w:rPr>
        <w:t xml:space="preserve"> berpengaruh terhadap meningkatnya atau menurunnya pendapatan daerah, dan selanjutnya akan mempengaruhi besaran belanja daerah. </w:t>
      </w:r>
      <w:proofErr w:type="gramStart"/>
      <w:r w:rsidRPr="00517447">
        <w:rPr>
          <w:rFonts w:ascii="Century Gothic" w:hAnsi="Century Gothic"/>
          <w:sz w:val="20"/>
          <w:szCs w:val="20"/>
          <w:shd w:val="clear" w:color="auto" w:fill="FFFFFF"/>
        </w:rPr>
        <w:t>Oleh sebab itu, ran</w:t>
      </w:r>
      <w:r w:rsidR="00FA28B1">
        <w:rPr>
          <w:rFonts w:ascii="Century Gothic" w:hAnsi="Century Gothic"/>
          <w:sz w:val="20"/>
          <w:szCs w:val="20"/>
          <w:shd w:val="clear" w:color="auto" w:fill="FFFFFF"/>
        </w:rPr>
        <w:t>cangan kerangka ekonomi daerah yang</w:t>
      </w:r>
      <w:r w:rsidRPr="00517447">
        <w:rPr>
          <w:rFonts w:ascii="Century Gothic" w:hAnsi="Century Gothic"/>
          <w:sz w:val="20"/>
          <w:szCs w:val="20"/>
          <w:shd w:val="clear" w:color="auto" w:fill="FFFFFF"/>
        </w:rPr>
        <w:t xml:space="preserve"> cermat dan akurat menjadi syarat bagi perumusan kebijakan keuangan daerah yang tepat.</w:t>
      </w:r>
      <w:proofErr w:type="gramEnd"/>
      <w:r w:rsidR="00A7036E" w:rsidRPr="00517447">
        <w:rPr>
          <w:rFonts w:ascii="Century Gothic" w:hAnsi="Century Gothic"/>
          <w:sz w:val="20"/>
          <w:szCs w:val="20"/>
          <w:shd w:val="clear" w:color="auto" w:fill="FFFFFF"/>
        </w:rPr>
        <w:t xml:space="preserve"> </w:t>
      </w:r>
      <w:r w:rsidRPr="00517447">
        <w:rPr>
          <w:rFonts w:ascii="Century Gothic" w:hAnsi="Century Gothic"/>
          <w:sz w:val="20"/>
          <w:szCs w:val="20"/>
          <w:shd w:val="clear" w:color="auto" w:fill="FFFFFF"/>
        </w:rPr>
        <w:t>Bab ini menjelaskan perkembangan kondisi ekonomi makro Kota Baubau tahun 2014, dan prospek pe</w:t>
      </w:r>
      <w:r w:rsidR="006F71B4">
        <w:rPr>
          <w:rFonts w:ascii="Century Gothic" w:hAnsi="Century Gothic"/>
          <w:sz w:val="20"/>
          <w:szCs w:val="20"/>
          <w:shd w:val="clear" w:color="auto" w:fill="FFFFFF"/>
        </w:rPr>
        <w:t xml:space="preserve">rekonomian Kota Baubau 2015, </w:t>
      </w:r>
      <w:r w:rsidRPr="00517447">
        <w:rPr>
          <w:rFonts w:ascii="Century Gothic" w:hAnsi="Century Gothic"/>
          <w:sz w:val="20"/>
          <w:szCs w:val="20"/>
          <w:shd w:val="clear" w:color="auto" w:fill="FFFFFF"/>
        </w:rPr>
        <w:t>2016</w:t>
      </w:r>
      <w:r w:rsidR="006F71B4">
        <w:rPr>
          <w:rFonts w:ascii="Century Gothic" w:hAnsi="Century Gothic"/>
          <w:sz w:val="20"/>
          <w:szCs w:val="20"/>
          <w:shd w:val="clear" w:color="auto" w:fill="FFFFFF"/>
        </w:rPr>
        <w:t xml:space="preserve"> dan 2017</w:t>
      </w:r>
      <w:r w:rsidR="00F76CE2">
        <w:rPr>
          <w:rFonts w:ascii="Century Gothic" w:hAnsi="Century Gothic"/>
          <w:sz w:val="20"/>
          <w:szCs w:val="20"/>
          <w:shd w:val="clear" w:color="auto" w:fill="FFFFFF"/>
        </w:rPr>
        <w:t xml:space="preserve">, serta </w:t>
      </w:r>
      <w:r w:rsidR="00F76CE2" w:rsidRPr="00162626">
        <w:rPr>
          <w:rFonts w:ascii="Century Gothic" w:eastAsia="Times New Roman" w:hAnsi="Century Gothic" w:cs="Segoe UI"/>
          <w:bCs/>
          <w:iCs/>
          <w:sz w:val="20"/>
          <w:szCs w:val="20"/>
        </w:rPr>
        <w:t>tantangan perekonomian kota Baubau serta gambaran dinamika faktor eksternal dan internal yang diperkirakan mempengaruhi kinerja perekonomian daerah.</w:t>
      </w:r>
      <w:r w:rsidR="00F76CE2">
        <w:rPr>
          <w:rFonts w:ascii="Century Gothic" w:eastAsia="Times New Roman" w:hAnsi="Century Gothic" w:cs="Segoe UI"/>
          <w:bCs/>
          <w:iCs/>
          <w:sz w:val="20"/>
          <w:szCs w:val="20"/>
        </w:rPr>
        <w:t xml:space="preserve"> </w:t>
      </w:r>
      <w:proofErr w:type="gramStart"/>
      <w:r w:rsidRPr="00517447">
        <w:rPr>
          <w:rFonts w:ascii="Century Gothic" w:hAnsi="Century Gothic"/>
          <w:sz w:val="20"/>
          <w:szCs w:val="20"/>
          <w:shd w:val="clear" w:color="auto" w:fill="FFFFFF"/>
        </w:rPr>
        <w:t>Bab ini juga membahas perkiraaan keuangan daerah serta kebijakan keuangan daerah termasuk kebijakan pendapatan, belanja dan pembiayaan daerah tahun 2016.</w:t>
      </w:r>
      <w:proofErr w:type="gramEnd"/>
      <w:r w:rsidR="00E94224" w:rsidRPr="00517447">
        <w:rPr>
          <w:rFonts w:ascii="Century Gothic" w:hAnsi="Century Gothic"/>
          <w:sz w:val="20"/>
          <w:szCs w:val="20"/>
          <w:shd w:val="clear" w:color="auto" w:fill="FFFFFF"/>
        </w:rPr>
        <w:tab/>
      </w:r>
      <w:r w:rsidR="00E94224" w:rsidRPr="00F76AED">
        <w:rPr>
          <w:rFonts w:ascii="Century Gothic" w:hAnsi="Century Gothic" w:cs="Calibri"/>
          <w:b/>
          <w:color w:val="000000"/>
          <w:sz w:val="20"/>
          <w:szCs w:val="20"/>
          <w:lang w:val="id-ID"/>
        </w:rPr>
        <w:tab/>
      </w:r>
    </w:p>
    <w:p w:rsidR="00E94224" w:rsidRPr="00F76AED" w:rsidRDefault="00E94224" w:rsidP="00162626">
      <w:pPr>
        <w:autoSpaceDE w:val="0"/>
        <w:autoSpaceDN w:val="0"/>
        <w:adjustRightInd w:val="0"/>
        <w:spacing w:after="0" w:line="360" w:lineRule="auto"/>
        <w:ind w:firstLine="720"/>
        <w:jc w:val="both"/>
        <w:rPr>
          <w:rFonts w:ascii="Century Gothic" w:hAnsi="Century Gothic" w:cs="Calibri"/>
          <w:b/>
          <w:color w:val="000000"/>
          <w:sz w:val="20"/>
          <w:szCs w:val="20"/>
          <w:lang w:val="id-ID"/>
        </w:rPr>
      </w:pPr>
      <w:r w:rsidRPr="00F76AED">
        <w:rPr>
          <w:rFonts w:ascii="Century Gothic" w:hAnsi="Century Gothic" w:cs="Calibri"/>
          <w:b/>
          <w:color w:val="000000"/>
          <w:sz w:val="20"/>
          <w:szCs w:val="20"/>
          <w:lang w:val="id-ID"/>
        </w:rPr>
        <w:tab/>
      </w:r>
      <w:r w:rsidRPr="00F76AED">
        <w:rPr>
          <w:rFonts w:ascii="Century Gothic" w:hAnsi="Century Gothic" w:cs="Calibri"/>
          <w:b/>
          <w:color w:val="000000"/>
          <w:sz w:val="20"/>
          <w:szCs w:val="20"/>
        </w:rPr>
        <w:tab/>
      </w:r>
    </w:p>
    <w:p w:rsidR="00162626" w:rsidRPr="00FF40DD" w:rsidRDefault="00162626" w:rsidP="00FF40DD">
      <w:pPr>
        <w:pStyle w:val="Heading2"/>
        <w:spacing w:line="360" w:lineRule="auto"/>
        <w:ind w:left="709" w:hanging="712"/>
        <w:rPr>
          <w:rFonts w:ascii="Arial Black" w:hAnsi="Arial Black"/>
          <w:noProof/>
          <w:lang w:val="id-ID"/>
        </w:rPr>
      </w:pPr>
      <w:r w:rsidRPr="00FF40DD">
        <w:rPr>
          <w:rFonts w:ascii="Arial Black" w:hAnsi="Arial Black"/>
          <w:noProof/>
          <w:lang w:val="id-ID"/>
        </w:rPr>
        <w:t>3.1. ARAH KEBIJAKAN EKONOMI DAERAH</w:t>
      </w:r>
      <w:r w:rsidRPr="00FF40DD">
        <w:rPr>
          <w:rFonts w:ascii="Arial Black" w:hAnsi="Arial Black"/>
          <w:noProof/>
          <w:lang w:val="id-ID"/>
        </w:rPr>
        <w:tab/>
      </w:r>
    </w:p>
    <w:p w:rsidR="006D6284" w:rsidRDefault="006D6284" w:rsidP="006D6284">
      <w:pPr>
        <w:autoSpaceDE w:val="0"/>
        <w:autoSpaceDN w:val="0"/>
        <w:adjustRightInd w:val="0"/>
        <w:spacing w:after="0" w:line="360" w:lineRule="auto"/>
        <w:ind w:firstLine="720"/>
        <w:jc w:val="both"/>
        <w:rPr>
          <w:rFonts w:ascii="Century Gothic" w:hAnsi="Century Gothic"/>
          <w:sz w:val="20"/>
          <w:szCs w:val="20"/>
        </w:rPr>
      </w:pPr>
      <w:proofErr w:type="gramStart"/>
      <w:r w:rsidRPr="006D6284">
        <w:rPr>
          <w:rFonts w:ascii="Century Gothic" w:hAnsi="Century Gothic" w:cs="Tahoma"/>
          <w:sz w:val="20"/>
          <w:szCs w:val="20"/>
        </w:rPr>
        <w:t>Kebijakan Ekonomi Kota Baubau tahun 2016 diselaraskan dengan sasaran dan arah yang telah ditetapkan Pemerintah Pusat dan Pemerintah Provinsi Sulawesi Tenggara secara regional.</w:t>
      </w:r>
      <w:proofErr w:type="gramEnd"/>
      <w:r w:rsidRPr="006D6284">
        <w:rPr>
          <w:rFonts w:ascii="Century Gothic" w:hAnsi="Century Gothic" w:cs="Tahoma"/>
          <w:sz w:val="20"/>
          <w:szCs w:val="20"/>
        </w:rPr>
        <w:t xml:space="preserve"> </w:t>
      </w:r>
      <w:proofErr w:type="gramStart"/>
      <w:r>
        <w:rPr>
          <w:rFonts w:ascii="Century Gothic" w:hAnsi="Century Gothic" w:cs="Tahoma"/>
          <w:sz w:val="20"/>
          <w:szCs w:val="20"/>
        </w:rPr>
        <w:t>Secara na</w:t>
      </w:r>
      <w:r w:rsidRPr="006D6284">
        <w:rPr>
          <w:rFonts w:ascii="Century Gothic" w:hAnsi="Century Gothic" w:cs="Tahoma"/>
          <w:sz w:val="20"/>
          <w:szCs w:val="20"/>
        </w:rPr>
        <w:t xml:space="preserve">sional, </w:t>
      </w:r>
      <w:r>
        <w:rPr>
          <w:rFonts w:ascii="Century Gothic" w:hAnsi="Century Gothic"/>
          <w:sz w:val="20"/>
          <w:szCs w:val="20"/>
        </w:rPr>
        <w:t>t</w:t>
      </w:r>
      <w:r w:rsidRPr="006D6284">
        <w:rPr>
          <w:rFonts w:ascii="Century Gothic" w:hAnsi="Century Gothic"/>
          <w:sz w:val="20"/>
          <w:szCs w:val="20"/>
        </w:rPr>
        <w:t>ahun 2016 merupakan tahun kedua pelaksanaan Rencana Pembangunan Jangka Menengah Nasional (RPJMN) periode 2015-2019.</w:t>
      </w:r>
      <w:proofErr w:type="gramEnd"/>
      <w:r w:rsidRPr="006D6284">
        <w:rPr>
          <w:rFonts w:ascii="Century Gothic" w:hAnsi="Century Gothic"/>
          <w:sz w:val="20"/>
          <w:szCs w:val="20"/>
        </w:rPr>
        <w:t xml:space="preserve"> </w:t>
      </w:r>
      <w:proofErr w:type="gramStart"/>
      <w:r w:rsidRPr="006D6284">
        <w:rPr>
          <w:rFonts w:ascii="Century Gothic" w:hAnsi="Century Gothic"/>
          <w:sz w:val="20"/>
          <w:szCs w:val="20"/>
        </w:rPr>
        <w:t>Arah kebijakan RPJMN dalam periode ini merupakan tahapan dalam mewujudkan visi pembangunan jangka panjang yaitu mewujudkan Indonesia yang mandiri, maju, adil, dan makmur.</w:t>
      </w:r>
      <w:proofErr w:type="gramEnd"/>
      <w:r w:rsidRPr="006D6284">
        <w:rPr>
          <w:rFonts w:ascii="Century Gothic" w:hAnsi="Century Gothic"/>
          <w:sz w:val="20"/>
          <w:szCs w:val="20"/>
        </w:rPr>
        <w:t xml:space="preserve"> </w:t>
      </w:r>
      <w:proofErr w:type="gramStart"/>
      <w:r w:rsidRPr="006D6284">
        <w:rPr>
          <w:rFonts w:ascii="Century Gothic" w:hAnsi="Century Gothic"/>
          <w:sz w:val="20"/>
          <w:szCs w:val="20"/>
        </w:rPr>
        <w:t xml:space="preserve">Tema yang diangkat adalah </w:t>
      </w:r>
      <w:r w:rsidR="008446D6">
        <w:rPr>
          <w:rFonts w:ascii="Century Gothic" w:hAnsi="Century Gothic"/>
          <w:sz w:val="20"/>
          <w:szCs w:val="20"/>
        </w:rPr>
        <w:t>“M</w:t>
      </w:r>
      <w:r w:rsidRPr="006D6284">
        <w:rPr>
          <w:rFonts w:ascii="Century Gothic" w:hAnsi="Century Gothic"/>
          <w:sz w:val="20"/>
          <w:szCs w:val="20"/>
        </w:rPr>
        <w:t>ewuju</w:t>
      </w:r>
      <w:r w:rsidR="008446D6">
        <w:rPr>
          <w:rFonts w:ascii="Century Gothic" w:hAnsi="Century Gothic"/>
          <w:sz w:val="20"/>
          <w:szCs w:val="20"/>
        </w:rPr>
        <w:t>dkan P</w:t>
      </w:r>
      <w:r w:rsidRPr="006D6284">
        <w:rPr>
          <w:rFonts w:ascii="Century Gothic" w:hAnsi="Century Gothic"/>
          <w:sz w:val="20"/>
          <w:szCs w:val="20"/>
        </w:rPr>
        <w:t>embangunan secara menyeluruh di berbagai bidan</w:t>
      </w:r>
      <w:r w:rsidR="008446D6">
        <w:rPr>
          <w:rFonts w:ascii="Century Gothic" w:hAnsi="Century Gothic"/>
          <w:sz w:val="20"/>
          <w:szCs w:val="20"/>
        </w:rPr>
        <w:t>g dengan menekankan pencapaian Daya saing, P</w:t>
      </w:r>
      <w:r w:rsidRPr="006D6284">
        <w:rPr>
          <w:rFonts w:ascii="Century Gothic" w:hAnsi="Century Gothic"/>
          <w:sz w:val="20"/>
          <w:szCs w:val="20"/>
        </w:rPr>
        <w:t>erekonomian kompetitif dengan berlandaskan keunggulan sumber daya alam dan sumber daya manusia berkualitas, serta kemampuan IPTEK yang terus meningkat”.</w:t>
      </w:r>
      <w:proofErr w:type="gramEnd"/>
      <w:r w:rsidRPr="006D6284">
        <w:rPr>
          <w:rFonts w:ascii="Century Gothic" w:hAnsi="Century Gothic"/>
          <w:sz w:val="20"/>
          <w:szCs w:val="20"/>
        </w:rPr>
        <w:t xml:space="preserve"> Pencapaian sasaran tersebut selanjutnya dijabarkan dalam Rencana Kerja Pemerintah (RKP) tahun 2016 yang mengambil tema</w:t>
      </w:r>
      <w:proofErr w:type="gramStart"/>
      <w:r w:rsidRPr="006D6284">
        <w:rPr>
          <w:rFonts w:ascii="Century Gothic" w:hAnsi="Century Gothic"/>
          <w:sz w:val="20"/>
          <w:szCs w:val="20"/>
        </w:rPr>
        <w:t>  “</w:t>
      </w:r>
      <w:proofErr w:type="gramEnd"/>
      <w:r w:rsidRPr="006D6284">
        <w:rPr>
          <w:rFonts w:ascii="Century Gothic" w:hAnsi="Century Gothic"/>
          <w:sz w:val="20"/>
          <w:szCs w:val="20"/>
        </w:rPr>
        <w:t>Memperc</w:t>
      </w:r>
      <w:r w:rsidR="008446D6">
        <w:rPr>
          <w:rFonts w:ascii="Century Gothic" w:hAnsi="Century Gothic"/>
          <w:sz w:val="20"/>
          <w:szCs w:val="20"/>
        </w:rPr>
        <w:t xml:space="preserve">epat </w:t>
      </w:r>
      <w:r w:rsidR="008446D6">
        <w:rPr>
          <w:rFonts w:ascii="Century Gothic" w:hAnsi="Century Gothic"/>
          <w:sz w:val="20"/>
          <w:szCs w:val="20"/>
        </w:rPr>
        <w:lastRenderedPageBreak/>
        <w:t>Pembangunan Infrastruktur u</w:t>
      </w:r>
      <w:r w:rsidRPr="006D6284">
        <w:rPr>
          <w:rFonts w:ascii="Century Gothic" w:hAnsi="Century Gothic"/>
          <w:sz w:val="20"/>
          <w:szCs w:val="20"/>
        </w:rPr>
        <w:t xml:space="preserve">ntuk </w:t>
      </w:r>
      <w:r w:rsidR="008446D6">
        <w:rPr>
          <w:rFonts w:ascii="Century Gothic" w:hAnsi="Century Gothic"/>
          <w:sz w:val="20"/>
          <w:szCs w:val="20"/>
        </w:rPr>
        <w:t>Memperkuat Fondasi Pembangunan y</w:t>
      </w:r>
      <w:r w:rsidRPr="006D6284">
        <w:rPr>
          <w:rFonts w:ascii="Century Gothic" w:hAnsi="Century Gothic"/>
          <w:sz w:val="20"/>
          <w:szCs w:val="20"/>
        </w:rPr>
        <w:t>ang Berkualitas”.  </w:t>
      </w:r>
    </w:p>
    <w:p w:rsidR="008048C2" w:rsidRPr="008048C2" w:rsidRDefault="00275CA7" w:rsidP="00536366">
      <w:pPr>
        <w:spacing w:after="0" w:line="360" w:lineRule="auto"/>
        <w:ind w:firstLine="851"/>
        <w:jc w:val="both"/>
        <w:rPr>
          <w:rFonts w:ascii="Century Gothic" w:hAnsi="Century Gothic" w:cs="Arial"/>
          <w:b/>
          <w:bCs/>
          <w:color w:val="000000"/>
          <w:sz w:val="20"/>
          <w:szCs w:val="20"/>
        </w:rPr>
      </w:pPr>
      <w:r>
        <w:rPr>
          <w:rFonts w:ascii="Century Gothic" w:hAnsi="Century Gothic"/>
          <w:sz w:val="20"/>
          <w:szCs w:val="20"/>
        </w:rPr>
        <w:t>Pada skala Regional, RKPD Provinsi Sultra Tahun 2016 mengamanatkan bahwa arah kebijakan pengembangan Ekonomi di lingkup wilayah Sulawesi Tenggara sebagaimana dinyatak</w:t>
      </w:r>
      <w:r w:rsidRPr="008048C2">
        <w:rPr>
          <w:rFonts w:ascii="Century Gothic" w:hAnsi="Century Gothic" w:cs="Arial"/>
          <w:color w:val="000000"/>
          <w:sz w:val="20"/>
          <w:szCs w:val="20"/>
        </w:rPr>
        <w:t xml:space="preserve">an dalam Tema dan Prioritas Pembangunan Sultra Tahun 2016 adalah </w:t>
      </w:r>
      <w:r w:rsidRPr="00275CA7">
        <w:rPr>
          <w:rFonts w:ascii="Century Gothic" w:hAnsi="Century Gothic" w:cs="Arial"/>
          <w:color w:val="000000"/>
          <w:sz w:val="20"/>
          <w:szCs w:val="20"/>
        </w:rPr>
        <w:t>M</w:t>
      </w:r>
      <w:r w:rsidR="008C4B3D">
        <w:rPr>
          <w:rFonts w:ascii="Century Gothic" w:hAnsi="Century Gothic" w:cs="Arial"/>
          <w:color w:val="000000"/>
          <w:sz w:val="20"/>
          <w:szCs w:val="20"/>
        </w:rPr>
        <w:t>emantapkan Perekonomian Daerah m</w:t>
      </w:r>
      <w:r w:rsidRPr="00275CA7">
        <w:rPr>
          <w:rFonts w:ascii="Century Gothic" w:hAnsi="Century Gothic" w:cs="Arial"/>
          <w:color w:val="000000"/>
          <w:sz w:val="20"/>
          <w:szCs w:val="20"/>
        </w:rPr>
        <w:t>elalui Peningkat</w:t>
      </w:r>
      <w:r w:rsidR="008446D6">
        <w:rPr>
          <w:rFonts w:ascii="Century Gothic" w:hAnsi="Century Gothic" w:cs="Arial"/>
          <w:color w:val="000000"/>
          <w:sz w:val="20"/>
          <w:szCs w:val="20"/>
        </w:rPr>
        <w:t>an Kualitas Sumberdaya Manusia u</w:t>
      </w:r>
      <w:r w:rsidRPr="00275CA7">
        <w:rPr>
          <w:rFonts w:ascii="Century Gothic" w:hAnsi="Century Gothic" w:cs="Arial"/>
          <w:color w:val="000000"/>
          <w:sz w:val="20"/>
          <w:szCs w:val="20"/>
        </w:rPr>
        <w:t>ntuk Mendorong Nilai Tambah Sumberdaya Alam</w:t>
      </w:r>
      <w:r w:rsidR="00A500D9">
        <w:rPr>
          <w:rFonts w:ascii="Century Gothic" w:hAnsi="Century Gothic" w:cs="Arial"/>
          <w:color w:val="000000"/>
          <w:sz w:val="20"/>
          <w:szCs w:val="20"/>
        </w:rPr>
        <w:t>,</w:t>
      </w:r>
      <w:r w:rsidRPr="00275CA7">
        <w:rPr>
          <w:rFonts w:ascii="Century Gothic" w:hAnsi="Century Gothic" w:cs="Arial"/>
          <w:color w:val="000000"/>
          <w:sz w:val="20"/>
          <w:szCs w:val="20"/>
        </w:rPr>
        <w:t xml:space="preserve"> s</w:t>
      </w:r>
      <w:r w:rsidR="008048C2">
        <w:rPr>
          <w:rFonts w:ascii="Century Gothic" w:hAnsi="Century Gothic" w:cs="Arial"/>
          <w:color w:val="000000"/>
          <w:sz w:val="20"/>
          <w:szCs w:val="20"/>
        </w:rPr>
        <w:t>erta Peningkatan Infrastruktur p</w:t>
      </w:r>
      <w:r w:rsidR="004068BA">
        <w:rPr>
          <w:rFonts w:ascii="Century Gothic" w:hAnsi="Century Gothic" w:cs="Arial"/>
          <w:color w:val="000000"/>
          <w:sz w:val="20"/>
          <w:szCs w:val="20"/>
        </w:rPr>
        <w:t>ada Kawasan Strategis</w:t>
      </w:r>
      <w:r w:rsidRPr="00275CA7">
        <w:rPr>
          <w:rFonts w:ascii="Century Gothic" w:hAnsi="Century Gothic" w:cs="Arial"/>
          <w:color w:val="000000"/>
          <w:sz w:val="20"/>
          <w:szCs w:val="20"/>
        </w:rPr>
        <w:t xml:space="preserve">. </w:t>
      </w:r>
      <w:proofErr w:type="gramStart"/>
      <w:r w:rsidRPr="00275CA7">
        <w:rPr>
          <w:rFonts w:ascii="Century Gothic" w:hAnsi="Century Gothic" w:cs="Arial"/>
          <w:color w:val="000000"/>
          <w:sz w:val="20"/>
          <w:szCs w:val="20"/>
        </w:rPr>
        <w:t xml:space="preserve">Hal tersebut dimaksud untuk menciptakan kualitas sumber daya manusia di Sulawesi Tenggara dalam rangka meningkatkan daya saing daerah melalui peningkatan nilai tambah </w:t>
      </w:r>
      <w:r w:rsidRPr="00FA28B1">
        <w:rPr>
          <w:rFonts w:ascii="Century Gothic" w:hAnsi="Century Gothic" w:cs="Arial"/>
          <w:color w:val="000000"/>
          <w:sz w:val="20"/>
          <w:szCs w:val="20"/>
        </w:rPr>
        <w:t>sumber daya alam dan menghadapi Asean Economic Community (AEC) Tahun 2015</w:t>
      </w:r>
      <w:r w:rsidR="00FA28B1" w:rsidRPr="00FA28B1">
        <w:rPr>
          <w:rFonts w:ascii="Century Gothic" w:hAnsi="Century Gothic"/>
        </w:rPr>
        <w:t>.</w:t>
      </w:r>
      <w:proofErr w:type="gramEnd"/>
      <w:r w:rsidR="00FA28B1" w:rsidRPr="00FA28B1">
        <w:rPr>
          <w:rFonts w:ascii="Century Gothic" w:hAnsi="Century Gothic"/>
        </w:rPr>
        <w:t xml:space="preserve"> Adapun</w:t>
      </w:r>
      <w:r w:rsidR="008048C2" w:rsidRPr="00FA28B1">
        <w:rPr>
          <w:rFonts w:ascii="Century Gothic" w:hAnsi="Century Gothic"/>
        </w:rPr>
        <w:t xml:space="preserve"> </w:t>
      </w:r>
      <w:r w:rsidR="008048C2" w:rsidRPr="00FA28B1">
        <w:rPr>
          <w:rFonts w:ascii="Century Gothic" w:hAnsi="Century Gothic" w:cs="Arial"/>
          <w:color w:val="000000"/>
          <w:sz w:val="20"/>
          <w:szCs w:val="20"/>
        </w:rPr>
        <w:t xml:space="preserve">fokus </w:t>
      </w:r>
      <w:r w:rsidR="00195EFF" w:rsidRPr="00FA28B1">
        <w:rPr>
          <w:rFonts w:ascii="Century Gothic" w:hAnsi="Century Gothic" w:cs="Arial"/>
          <w:color w:val="000000"/>
          <w:sz w:val="20"/>
          <w:szCs w:val="20"/>
        </w:rPr>
        <w:t>pembangunan ekonomi Su</w:t>
      </w:r>
      <w:r w:rsidR="008048C2" w:rsidRPr="00FA28B1">
        <w:rPr>
          <w:rFonts w:ascii="Century Gothic" w:hAnsi="Century Gothic" w:cs="Arial"/>
          <w:color w:val="000000"/>
          <w:sz w:val="20"/>
          <w:szCs w:val="20"/>
        </w:rPr>
        <w:t xml:space="preserve">ltra </w:t>
      </w:r>
      <w:r w:rsidR="00195EFF" w:rsidRPr="00FA28B1">
        <w:rPr>
          <w:rFonts w:ascii="Century Gothic" w:hAnsi="Century Gothic" w:cs="Arial"/>
          <w:color w:val="000000"/>
          <w:sz w:val="20"/>
          <w:szCs w:val="20"/>
        </w:rPr>
        <w:t>t</w:t>
      </w:r>
      <w:r w:rsidR="008048C2" w:rsidRPr="00FA28B1">
        <w:rPr>
          <w:rFonts w:ascii="Century Gothic" w:hAnsi="Century Gothic" w:cs="Arial"/>
          <w:color w:val="000000"/>
          <w:sz w:val="20"/>
          <w:szCs w:val="20"/>
        </w:rPr>
        <w:t xml:space="preserve">ahun 2016 diarahkan pada </w:t>
      </w:r>
      <w:r w:rsidR="009426F0" w:rsidRPr="00FA28B1">
        <w:rPr>
          <w:rFonts w:ascii="Century Gothic" w:hAnsi="Century Gothic" w:cs="Arial"/>
          <w:color w:val="000000"/>
          <w:sz w:val="20"/>
          <w:szCs w:val="20"/>
        </w:rPr>
        <w:t>9</w:t>
      </w:r>
      <w:r w:rsidR="008048C2" w:rsidRPr="00FA28B1">
        <w:rPr>
          <w:rFonts w:ascii="Century Gothic" w:hAnsi="Century Gothic" w:cs="Arial"/>
          <w:color w:val="000000"/>
          <w:sz w:val="20"/>
          <w:szCs w:val="20"/>
        </w:rPr>
        <w:t xml:space="preserve"> bidang pokok</w:t>
      </w:r>
      <w:r w:rsidR="00E63B5C" w:rsidRPr="00FA28B1">
        <w:rPr>
          <w:rFonts w:ascii="Century Gothic" w:hAnsi="Century Gothic" w:cs="Arial"/>
          <w:color w:val="000000"/>
          <w:sz w:val="20"/>
          <w:szCs w:val="20"/>
        </w:rPr>
        <w:t>,</w:t>
      </w:r>
      <w:r w:rsidR="00E63B5C">
        <w:rPr>
          <w:rFonts w:ascii="Century Gothic" w:hAnsi="Century Gothic" w:cs="Arial"/>
          <w:color w:val="000000"/>
          <w:sz w:val="20"/>
          <w:szCs w:val="20"/>
        </w:rPr>
        <w:t xml:space="preserve"> yaitu </w:t>
      </w:r>
      <w:bookmarkStart w:id="1" w:name="_Toc395493414"/>
      <w:r w:rsidR="008048C2" w:rsidRPr="00195EFF">
        <w:rPr>
          <w:rFonts w:ascii="Century Gothic" w:hAnsi="Century Gothic" w:cs="Arial"/>
          <w:color w:val="000000"/>
          <w:sz w:val="20"/>
          <w:szCs w:val="20"/>
        </w:rPr>
        <w:t>Bidang Pertanian</w:t>
      </w:r>
      <w:bookmarkEnd w:id="1"/>
      <w:r w:rsidR="00E63B5C" w:rsidRPr="00195EFF">
        <w:rPr>
          <w:rFonts w:ascii="Century Gothic" w:hAnsi="Century Gothic" w:cs="Arial"/>
          <w:color w:val="000000"/>
          <w:sz w:val="20"/>
          <w:szCs w:val="20"/>
        </w:rPr>
        <w:t xml:space="preserve">, </w:t>
      </w:r>
      <w:bookmarkStart w:id="2" w:name="_Toc395493415"/>
      <w:r w:rsidR="00E63B5C" w:rsidRPr="00195EFF">
        <w:rPr>
          <w:rFonts w:ascii="Century Gothic" w:hAnsi="Century Gothic" w:cs="Arial"/>
          <w:color w:val="000000"/>
          <w:sz w:val="20"/>
          <w:szCs w:val="20"/>
        </w:rPr>
        <w:t>Perkebunan d</w:t>
      </w:r>
      <w:r w:rsidR="008048C2" w:rsidRPr="00195EFF">
        <w:rPr>
          <w:rFonts w:ascii="Century Gothic" w:hAnsi="Century Gothic" w:cs="Arial"/>
          <w:color w:val="000000"/>
          <w:sz w:val="20"/>
          <w:szCs w:val="20"/>
        </w:rPr>
        <w:t>an Hortikultura</w:t>
      </w:r>
      <w:bookmarkEnd w:id="2"/>
      <w:r w:rsidR="00E63B5C" w:rsidRPr="00195EFF">
        <w:rPr>
          <w:rFonts w:ascii="Century Gothic" w:hAnsi="Century Gothic" w:cs="Arial"/>
          <w:color w:val="000000"/>
          <w:sz w:val="20"/>
          <w:szCs w:val="20"/>
        </w:rPr>
        <w:t xml:space="preserve">, </w:t>
      </w:r>
      <w:r w:rsidR="008048C2" w:rsidRPr="00195EFF">
        <w:rPr>
          <w:rFonts w:ascii="Century Gothic" w:hAnsi="Century Gothic" w:cs="Arial"/>
          <w:color w:val="000000"/>
          <w:sz w:val="20"/>
          <w:szCs w:val="20"/>
        </w:rPr>
        <w:t>Kehutanan</w:t>
      </w:r>
      <w:bookmarkStart w:id="3" w:name="_Toc395493417"/>
      <w:r w:rsidR="00E63B5C" w:rsidRPr="00195EFF">
        <w:rPr>
          <w:rFonts w:ascii="Century Gothic" w:hAnsi="Century Gothic" w:cs="Arial"/>
          <w:color w:val="000000"/>
          <w:sz w:val="20"/>
          <w:szCs w:val="20"/>
        </w:rPr>
        <w:t xml:space="preserve">, </w:t>
      </w:r>
      <w:r w:rsidR="008048C2" w:rsidRPr="00195EFF">
        <w:rPr>
          <w:rFonts w:ascii="Century Gothic" w:hAnsi="Century Gothic" w:cs="Arial"/>
          <w:color w:val="000000"/>
          <w:sz w:val="20"/>
          <w:szCs w:val="20"/>
        </w:rPr>
        <w:t>Energi</w:t>
      </w:r>
      <w:bookmarkEnd w:id="3"/>
      <w:r w:rsidR="00E63B5C" w:rsidRPr="00195EFF">
        <w:rPr>
          <w:rFonts w:ascii="Century Gothic" w:hAnsi="Century Gothic" w:cs="Arial"/>
          <w:color w:val="000000"/>
          <w:sz w:val="20"/>
          <w:szCs w:val="20"/>
        </w:rPr>
        <w:t xml:space="preserve">, </w:t>
      </w:r>
      <w:bookmarkStart w:id="4" w:name="_Toc395493419"/>
      <w:r w:rsidR="00E63B5C" w:rsidRPr="00195EFF">
        <w:rPr>
          <w:rFonts w:ascii="Century Gothic" w:hAnsi="Century Gothic" w:cs="Arial"/>
          <w:color w:val="000000"/>
          <w:sz w:val="20"/>
          <w:szCs w:val="20"/>
        </w:rPr>
        <w:t>Kelautan d</w:t>
      </w:r>
      <w:r w:rsidR="008048C2" w:rsidRPr="00195EFF">
        <w:rPr>
          <w:rFonts w:ascii="Century Gothic" w:hAnsi="Century Gothic" w:cs="Arial"/>
          <w:color w:val="000000"/>
          <w:sz w:val="20"/>
          <w:szCs w:val="20"/>
        </w:rPr>
        <w:t>an Perikanan</w:t>
      </w:r>
      <w:bookmarkEnd w:id="4"/>
      <w:r w:rsidR="00E63B5C" w:rsidRPr="00195EFF">
        <w:rPr>
          <w:rFonts w:ascii="Century Gothic" w:hAnsi="Century Gothic" w:cs="Arial"/>
          <w:color w:val="000000"/>
          <w:sz w:val="20"/>
          <w:szCs w:val="20"/>
        </w:rPr>
        <w:t xml:space="preserve">, </w:t>
      </w:r>
      <w:bookmarkStart w:id="5" w:name="_Toc395493420"/>
      <w:r w:rsidR="008048C2" w:rsidRPr="00195EFF">
        <w:rPr>
          <w:rFonts w:ascii="Century Gothic" w:hAnsi="Century Gothic" w:cs="Arial"/>
          <w:color w:val="000000"/>
          <w:sz w:val="20"/>
          <w:szCs w:val="20"/>
        </w:rPr>
        <w:t xml:space="preserve">Ketenagakerjaan </w:t>
      </w:r>
      <w:r w:rsidR="00E63B5C" w:rsidRPr="00195EFF">
        <w:rPr>
          <w:rFonts w:ascii="Century Gothic" w:hAnsi="Century Gothic" w:cs="Arial"/>
          <w:color w:val="000000"/>
          <w:sz w:val="20"/>
          <w:szCs w:val="20"/>
        </w:rPr>
        <w:t>d</w:t>
      </w:r>
      <w:r w:rsidR="008048C2" w:rsidRPr="00195EFF">
        <w:rPr>
          <w:rFonts w:ascii="Century Gothic" w:hAnsi="Century Gothic" w:cs="Arial"/>
          <w:color w:val="000000"/>
          <w:sz w:val="20"/>
          <w:szCs w:val="20"/>
        </w:rPr>
        <w:t>an Ketransmigrasi</w:t>
      </w:r>
      <w:bookmarkEnd w:id="5"/>
      <w:r w:rsidR="008048C2" w:rsidRPr="00195EFF">
        <w:rPr>
          <w:rFonts w:ascii="Century Gothic" w:hAnsi="Century Gothic" w:cs="Arial"/>
          <w:color w:val="000000"/>
          <w:sz w:val="20"/>
          <w:szCs w:val="20"/>
        </w:rPr>
        <w:t>an</w:t>
      </w:r>
      <w:r w:rsidR="00E63B5C" w:rsidRPr="00195EFF">
        <w:rPr>
          <w:rFonts w:ascii="Century Gothic" w:hAnsi="Century Gothic" w:cs="Arial"/>
          <w:color w:val="000000"/>
          <w:sz w:val="20"/>
          <w:szCs w:val="20"/>
        </w:rPr>
        <w:t xml:space="preserve">, </w:t>
      </w:r>
      <w:bookmarkStart w:id="6" w:name="_Toc395493421"/>
      <w:r w:rsidR="008048C2" w:rsidRPr="00195EFF">
        <w:rPr>
          <w:rFonts w:ascii="Century Gothic" w:hAnsi="Century Gothic" w:cs="Arial"/>
          <w:color w:val="000000"/>
          <w:sz w:val="20"/>
          <w:szCs w:val="20"/>
        </w:rPr>
        <w:t xml:space="preserve">Perindustrian </w:t>
      </w:r>
      <w:r w:rsidR="00E63B5C" w:rsidRPr="00195EFF">
        <w:rPr>
          <w:rFonts w:ascii="Century Gothic" w:hAnsi="Century Gothic" w:cs="Arial"/>
          <w:color w:val="000000"/>
          <w:sz w:val="20"/>
          <w:szCs w:val="20"/>
        </w:rPr>
        <w:t>d</w:t>
      </w:r>
      <w:r w:rsidR="008048C2" w:rsidRPr="00195EFF">
        <w:rPr>
          <w:rFonts w:ascii="Century Gothic" w:hAnsi="Century Gothic" w:cs="Arial"/>
          <w:color w:val="000000"/>
          <w:sz w:val="20"/>
          <w:szCs w:val="20"/>
        </w:rPr>
        <w:t>an Perdagangan</w:t>
      </w:r>
      <w:bookmarkEnd w:id="6"/>
      <w:r w:rsidR="00E63B5C" w:rsidRPr="00195EFF">
        <w:rPr>
          <w:rFonts w:ascii="Century Gothic" w:hAnsi="Century Gothic" w:cs="Arial"/>
          <w:color w:val="000000"/>
          <w:sz w:val="20"/>
          <w:szCs w:val="20"/>
        </w:rPr>
        <w:t xml:space="preserve">, </w:t>
      </w:r>
      <w:bookmarkStart w:id="7" w:name="_Toc395493422"/>
      <w:r w:rsidR="008048C2" w:rsidRPr="00195EFF">
        <w:rPr>
          <w:rFonts w:ascii="Century Gothic" w:hAnsi="Century Gothic" w:cs="Arial"/>
          <w:color w:val="000000"/>
          <w:sz w:val="20"/>
          <w:szCs w:val="20"/>
        </w:rPr>
        <w:t>Pariwis</w:t>
      </w:r>
      <w:r w:rsidR="009426F0" w:rsidRPr="00195EFF">
        <w:rPr>
          <w:rFonts w:ascii="Century Gothic" w:hAnsi="Century Gothic" w:cs="Arial"/>
          <w:color w:val="000000"/>
          <w:sz w:val="20"/>
          <w:szCs w:val="20"/>
        </w:rPr>
        <w:t>ata d</w:t>
      </w:r>
      <w:r w:rsidR="008048C2" w:rsidRPr="00195EFF">
        <w:rPr>
          <w:rFonts w:ascii="Century Gothic" w:hAnsi="Century Gothic" w:cs="Arial"/>
          <w:color w:val="000000"/>
          <w:sz w:val="20"/>
          <w:szCs w:val="20"/>
        </w:rPr>
        <w:t>an Ekonomi Kreatif</w:t>
      </w:r>
      <w:bookmarkEnd w:id="7"/>
      <w:r w:rsidR="009426F0" w:rsidRPr="00195EFF">
        <w:rPr>
          <w:rFonts w:ascii="Century Gothic" w:hAnsi="Century Gothic" w:cs="Arial"/>
          <w:color w:val="000000"/>
          <w:sz w:val="20"/>
          <w:szCs w:val="20"/>
        </w:rPr>
        <w:t xml:space="preserve">, serta </w:t>
      </w:r>
      <w:bookmarkStart w:id="8" w:name="_Toc395493423"/>
      <w:r w:rsidR="008048C2" w:rsidRPr="00195EFF">
        <w:rPr>
          <w:rFonts w:ascii="Century Gothic" w:hAnsi="Century Gothic" w:cs="Arial"/>
          <w:color w:val="000000"/>
          <w:sz w:val="20"/>
          <w:szCs w:val="20"/>
        </w:rPr>
        <w:t>Lingkungan Hidup</w:t>
      </w:r>
      <w:bookmarkEnd w:id="8"/>
    </w:p>
    <w:p w:rsidR="00B114CE" w:rsidRDefault="0060046B" w:rsidP="00536366">
      <w:pPr>
        <w:spacing w:after="0" w:line="360" w:lineRule="auto"/>
        <w:ind w:firstLine="720"/>
        <w:jc w:val="both"/>
        <w:rPr>
          <w:rFonts w:ascii="Century Gothic" w:hAnsi="Century Gothic" w:cs="Arial"/>
          <w:color w:val="000000"/>
          <w:sz w:val="20"/>
          <w:szCs w:val="20"/>
        </w:rPr>
      </w:pPr>
      <w:r w:rsidRPr="0060046B">
        <w:rPr>
          <w:rFonts w:ascii="Century Gothic" w:hAnsi="Century Gothic" w:cs="Arial"/>
          <w:color w:val="000000"/>
          <w:sz w:val="20"/>
          <w:szCs w:val="20"/>
        </w:rPr>
        <w:t xml:space="preserve">Arah kebijakan ekonomi </w:t>
      </w:r>
      <w:r>
        <w:rPr>
          <w:rFonts w:ascii="Century Gothic" w:hAnsi="Century Gothic" w:cs="Arial"/>
          <w:color w:val="000000"/>
          <w:sz w:val="20"/>
          <w:szCs w:val="20"/>
        </w:rPr>
        <w:t xml:space="preserve">Kota Baubau tahun 2016 </w:t>
      </w:r>
      <w:r w:rsidRPr="0060046B">
        <w:rPr>
          <w:rFonts w:ascii="Century Gothic" w:hAnsi="Century Gothic" w:cs="Arial"/>
          <w:color w:val="000000"/>
          <w:sz w:val="20"/>
          <w:szCs w:val="20"/>
        </w:rPr>
        <w:t xml:space="preserve">ditujukan untuk mengimplementasikan program dan mewujudkan visi dan misi Kepala Daerah, serta isu strategis daerah, sebagai payung untuk perumusan prioritas program dan kegiatan pembangunan yang </w:t>
      </w:r>
      <w:proofErr w:type="gramStart"/>
      <w:r w:rsidRPr="0060046B">
        <w:rPr>
          <w:rFonts w:ascii="Century Gothic" w:hAnsi="Century Gothic" w:cs="Arial"/>
          <w:color w:val="000000"/>
          <w:sz w:val="20"/>
          <w:szCs w:val="20"/>
        </w:rPr>
        <w:t>akan</w:t>
      </w:r>
      <w:proofErr w:type="gramEnd"/>
      <w:r w:rsidRPr="0060046B">
        <w:rPr>
          <w:rFonts w:ascii="Century Gothic" w:hAnsi="Century Gothic" w:cs="Arial"/>
          <w:color w:val="000000"/>
          <w:sz w:val="20"/>
          <w:szCs w:val="20"/>
        </w:rPr>
        <w:t xml:space="preserve"> dilaksanakan pada tahun </w:t>
      </w:r>
      <w:r>
        <w:rPr>
          <w:rFonts w:ascii="Century Gothic" w:hAnsi="Century Gothic" w:cs="Arial"/>
          <w:color w:val="000000"/>
          <w:sz w:val="20"/>
          <w:szCs w:val="20"/>
        </w:rPr>
        <w:t>2016</w:t>
      </w:r>
      <w:r w:rsidR="00B114CE">
        <w:rPr>
          <w:rFonts w:ascii="Century Gothic" w:hAnsi="Century Gothic" w:cs="Arial"/>
          <w:color w:val="000000"/>
          <w:sz w:val="20"/>
          <w:szCs w:val="20"/>
        </w:rPr>
        <w:t>. RPJMD</w:t>
      </w:r>
      <w:r w:rsidR="00A55CC5" w:rsidRPr="006D6284">
        <w:rPr>
          <w:rFonts w:ascii="Century Gothic" w:hAnsi="Century Gothic" w:cs="Arial"/>
          <w:color w:val="000000"/>
          <w:sz w:val="20"/>
          <w:szCs w:val="20"/>
        </w:rPr>
        <w:t xml:space="preserve"> Kota Baubau Tahun 2013-2018 mengamanatkan dalam Visi Pembangunan “Menciptakan Baubau yang Maju, Sejahtera dan Berbudaya” </w:t>
      </w:r>
      <w:r w:rsidR="00B114CE">
        <w:rPr>
          <w:rFonts w:ascii="Century Gothic" w:hAnsi="Century Gothic" w:cs="Arial"/>
          <w:color w:val="000000"/>
          <w:sz w:val="20"/>
          <w:szCs w:val="20"/>
        </w:rPr>
        <w:t>bahwa</w:t>
      </w:r>
      <w:r w:rsidR="00A55CC5" w:rsidRPr="006D6284">
        <w:rPr>
          <w:rFonts w:ascii="Century Gothic" w:hAnsi="Century Gothic" w:cs="Arial"/>
          <w:color w:val="000000"/>
          <w:sz w:val="20"/>
          <w:szCs w:val="20"/>
        </w:rPr>
        <w:t xml:space="preserve"> fokus pembangunan Ekonomi diarahkan pada Upaya menjamin pemerataan kesejahteraan sosial dan terciptanya daya saing daerah yang didukung oleh tumbuh dan berkembangnya perekonomian kota yang berbasis pada peningkatan pendapatan masyarakat, sumber daya manusia yang berkualitas, infrastruktur perkotaaan yang memadai, penerapan ilmu pengetahuan dan teknologi yang  berwawasan lingkungan.</w:t>
      </w:r>
      <w:r w:rsidR="00B114CE">
        <w:rPr>
          <w:rFonts w:ascii="Century Gothic" w:hAnsi="Century Gothic" w:cs="Arial"/>
          <w:color w:val="000000"/>
          <w:sz w:val="20"/>
          <w:szCs w:val="20"/>
        </w:rPr>
        <w:t xml:space="preserve"> </w:t>
      </w:r>
      <w:proofErr w:type="gramStart"/>
      <w:r w:rsidR="00B114CE">
        <w:rPr>
          <w:rFonts w:ascii="Century Gothic" w:hAnsi="Century Gothic" w:cs="Arial"/>
          <w:color w:val="000000"/>
          <w:sz w:val="20"/>
          <w:szCs w:val="20"/>
        </w:rPr>
        <w:t>K</w:t>
      </w:r>
      <w:r w:rsidR="00B114CE" w:rsidRPr="00B114CE">
        <w:rPr>
          <w:rFonts w:ascii="Century Gothic" w:hAnsi="Century Gothic" w:cs="Arial"/>
          <w:color w:val="000000"/>
          <w:sz w:val="20"/>
          <w:szCs w:val="20"/>
        </w:rPr>
        <w:t xml:space="preserve">ebijakan perekonomian </w:t>
      </w:r>
      <w:r w:rsidR="00B114CE">
        <w:rPr>
          <w:rFonts w:ascii="Century Gothic" w:hAnsi="Century Gothic" w:cs="Arial"/>
          <w:color w:val="000000"/>
          <w:sz w:val="20"/>
          <w:szCs w:val="20"/>
        </w:rPr>
        <w:t>Kota Baubau</w:t>
      </w:r>
      <w:r w:rsidR="00B114CE" w:rsidRPr="00B114CE">
        <w:rPr>
          <w:rFonts w:ascii="Century Gothic" w:hAnsi="Century Gothic" w:cs="Arial"/>
          <w:color w:val="000000"/>
          <w:sz w:val="20"/>
          <w:szCs w:val="20"/>
        </w:rPr>
        <w:t xml:space="preserve"> juga diarahkan untuk</w:t>
      </w:r>
      <w:r w:rsidR="00B114CE">
        <w:rPr>
          <w:rFonts w:ascii="Century Gothic" w:hAnsi="Century Gothic" w:cs="Arial"/>
          <w:color w:val="000000"/>
          <w:sz w:val="20"/>
          <w:szCs w:val="20"/>
        </w:rPr>
        <w:t xml:space="preserve"> </w:t>
      </w:r>
      <w:r w:rsidR="00B114CE" w:rsidRPr="00B114CE">
        <w:rPr>
          <w:rFonts w:ascii="Century Gothic" w:hAnsi="Century Gothic" w:cs="Arial"/>
          <w:color w:val="000000"/>
          <w:sz w:val="20"/>
          <w:szCs w:val="20"/>
        </w:rPr>
        <w:t>tetap menjaga pertumbuhan ekonomi yang berkualitas, berkesinambungan,</w:t>
      </w:r>
      <w:r w:rsidR="00B114CE">
        <w:rPr>
          <w:rFonts w:ascii="Century Gothic" w:hAnsi="Century Gothic" w:cs="Arial"/>
          <w:color w:val="000000"/>
          <w:sz w:val="20"/>
          <w:szCs w:val="20"/>
        </w:rPr>
        <w:t xml:space="preserve"> </w:t>
      </w:r>
      <w:r w:rsidR="00B114CE" w:rsidRPr="00B114CE">
        <w:rPr>
          <w:rFonts w:ascii="Century Gothic" w:hAnsi="Century Gothic" w:cs="Arial"/>
          <w:color w:val="000000"/>
          <w:sz w:val="20"/>
          <w:szCs w:val="20"/>
        </w:rPr>
        <w:t>berkelanjutan, berkeadilan dan inklusif dengan mengedepankan upaya</w:t>
      </w:r>
      <w:r w:rsidR="00B114CE">
        <w:rPr>
          <w:rFonts w:ascii="Century Gothic" w:hAnsi="Century Gothic" w:cs="Arial"/>
          <w:color w:val="000000"/>
          <w:sz w:val="20"/>
          <w:szCs w:val="20"/>
        </w:rPr>
        <w:t xml:space="preserve"> </w:t>
      </w:r>
      <w:r w:rsidR="00B114CE" w:rsidRPr="00B114CE">
        <w:rPr>
          <w:rFonts w:ascii="Century Gothic" w:hAnsi="Century Gothic" w:cs="Arial"/>
          <w:color w:val="000000"/>
          <w:sz w:val="20"/>
          <w:szCs w:val="20"/>
        </w:rPr>
        <w:t>pembangunan infrastruktur, penurunan jumlah penduduk miskin, pengelolaan</w:t>
      </w:r>
      <w:r w:rsidR="00B114CE">
        <w:rPr>
          <w:rFonts w:ascii="Century Gothic" w:hAnsi="Century Gothic" w:cs="Arial"/>
          <w:color w:val="000000"/>
          <w:sz w:val="20"/>
          <w:szCs w:val="20"/>
        </w:rPr>
        <w:t xml:space="preserve"> </w:t>
      </w:r>
      <w:r w:rsidR="00B114CE" w:rsidRPr="00B114CE">
        <w:rPr>
          <w:rFonts w:ascii="Century Gothic" w:hAnsi="Century Gothic" w:cs="Arial"/>
          <w:color w:val="000000"/>
          <w:sz w:val="20"/>
          <w:szCs w:val="20"/>
        </w:rPr>
        <w:t xml:space="preserve">inflasi, </w:t>
      </w:r>
      <w:r w:rsidR="00B114CE">
        <w:rPr>
          <w:rFonts w:ascii="Century Gothic" w:hAnsi="Century Gothic" w:cs="Arial"/>
          <w:color w:val="000000"/>
          <w:sz w:val="20"/>
          <w:szCs w:val="20"/>
        </w:rPr>
        <w:t xml:space="preserve">dan </w:t>
      </w:r>
      <w:r w:rsidR="00B114CE" w:rsidRPr="00B114CE">
        <w:rPr>
          <w:rFonts w:ascii="Century Gothic" w:hAnsi="Century Gothic" w:cs="Arial"/>
          <w:color w:val="000000"/>
          <w:sz w:val="20"/>
          <w:szCs w:val="20"/>
        </w:rPr>
        <w:t>perluasan lapangan kerja</w:t>
      </w:r>
      <w:r w:rsidR="00B114CE">
        <w:rPr>
          <w:rFonts w:ascii="Century Gothic" w:hAnsi="Century Gothic" w:cs="Arial"/>
          <w:color w:val="000000"/>
          <w:sz w:val="20"/>
          <w:szCs w:val="20"/>
        </w:rPr>
        <w:t>.</w:t>
      </w:r>
      <w:proofErr w:type="gramEnd"/>
      <w:r w:rsidR="00B114CE">
        <w:rPr>
          <w:rFonts w:ascii="Century Gothic" w:hAnsi="Century Gothic" w:cs="Arial"/>
          <w:color w:val="000000"/>
          <w:sz w:val="20"/>
          <w:szCs w:val="20"/>
        </w:rPr>
        <w:t xml:space="preserve"> </w:t>
      </w:r>
    </w:p>
    <w:p w:rsidR="00C5059E" w:rsidRPr="00162626" w:rsidRDefault="00C5059E" w:rsidP="00162626">
      <w:pPr>
        <w:spacing w:after="0" w:line="360" w:lineRule="auto"/>
        <w:ind w:firstLine="720"/>
        <w:jc w:val="both"/>
        <w:rPr>
          <w:rFonts w:ascii="Century Gothic" w:eastAsia="Times New Roman" w:hAnsi="Century Gothic" w:cs="Segoe UI"/>
          <w:bCs/>
          <w:iCs/>
          <w:sz w:val="20"/>
          <w:szCs w:val="20"/>
          <w:lang w:val="id-ID"/>
        </w:rPr>
      </w:pPr>
    </w:p>
    <w:p w:rsidR="00EE50B0" w:rsidRDefault="00EE50B0" w:rsidP="006D4C3F">
      <w:pPr>
        <w:pStyle w:val="Heading3"/>
        <w:spacing w:after="240"/>
        <w:ind w:left="709" w:hanging="720"/>
        <w:rPr>
          <w:rFonts w:ascii="Arial Black" w:hAnsi="Arial Black"/>
          <w:i w:val="0"/>
          <w:noProof/>
          <w:spacing w:val="-8"/>
        </w:rPr>
      </w:pPr>
      <w:r w:rsidRPr="00EE50B0">
        <w:rPr>
          <w:rFonts w:ascii="Arial Black" w:hAnsi="Arial Black"/>
          <w:i w:val="0"/>
          <w:noProof/>
          <w:lang w:val="id-ID"/>
        </w:rPr>
        <w:t>3.1.1.</w:t>
      </w:r>
      <w:r w:rsidRPr="00EE50B0">
        <w:rPr>
          <w:rFonts w:ascii="Arial Black" w:hAnsi="Arial Black"/>
          <w:i w:val="0"/>
          <w:noProof/>
          <w:lang w:val="id-ID"/>
        </w:rPr>
        <w:tab/>
      </w:r>
      <w:r w:rsidRPr="007666E1">
        <w:rPr>
          <w:rFonts w:ascii="Arial Black" w:hAnsi="Arial Black"/>
          <w:i w:val="0"/>
          <w:noProof/>
          <w:spacing w:val="-8"/>
          <w:lang w:val="id-ID"/>
        </w:rPr>
        <w:t xml:space="preserve">Kondisi Ekonomi </w:t>
      </w:r>
      <w:r w:rsidR="00CA0813">
        <w:rPr>
          <w:rFonts w:ascii="Arial Black" w:hAnsi="Arial Black"/>
          <w:i w:val="0"/>
          <w:noProof/>
          <w:spacing w:val="-8"/>
        </w:rPr>
        <w:t>Kota Baubau</w:t>
      </w:r>
      <w:r w:rsidRPr="007666E1">
        <w:rPr>
          <w:rFonts w:ascii="Arial Black" w:hAnsi="Arial Black"/>
          <w:i w:val="0"/>
          <w:noProof/>
          <w:spacing w:val="-8"/>
          <w:lang w:val="id-ID"/>
        </w:rPr>
        <w:t xml:space="preserve"> Tahun 2014 </w:t>
      </w:r>
      <w:r w:rsidR="00C0667C">
        <w:rPr>
          <w:rFonts w:ascii="Arial Black" w:hAnsi="Arial Black"/>
          <w:i w:val="0"/>
          <w:noProof/>
          <w:spacing w:val="-8"/>
        </w:rPr>
        <w:t>dan</w:t>
      </w:r>
      <w:r w:rsidRPr="007666E1">
        <w:rPr>
          <w:rFonts w:ascii="Arial Black" w:hAnsi="Arial Black"/>
          <w:i w:val="0"/>
          <w:noProof/>
          <w:spacing w:val="-8"/>
          <w:lang w:val="id-ID"/>
        </w:rPr>
        <w:t xml:space="preserve"> Perkiraan Tahun 2015</w:t>
      </w:r>
    </w:p>
    <w:p w:rsidR="006D4C3F" w:rsidRDefault="006D4C3F" w:rsidP="006D4C3F">
      <w:pPr>
        <w:autoSpaceDE w:val="0"/>
        <w:autoSpaceDN w:val="0"/>
        <w:adjustRightInd w:val="0"/>
        <w:spacing w:after="0" w:line="360" w:lineRule="auto"/>
        <w:ind w:firstLine="720"/>
        <w:jc w:val="both"/>
        <w:rPr>
          <w:rFonts w:ascii="Century Gothic" w:hAnsi="Century Gothic" w:cs="Arial"/>
          <w:color w:val="000000"/>
          <w:sz w:val="20"/>
          <w:szCs w:val="20"/>
        </w:rPr>
      </w:pPr>
      <w:proofErr w:type="gramStart"/>
      <w:r w:rsidRPr="002146BF">
        <w:rPr>
          <w:rFonts w:ascii="Century Gothic" w:hAnsi="Century Gothic" w:cs="Bookman Old Style"/>
          <w:sz w:val="20"/>
          <w:szCs w:val="20"/>
        </w:rPr>
        <w:t>Perkembangan ekonomi makro Kota Baubau masih lebih banyak didorong oleh peningkatan konsumsi, terutama konsumsi pemerintah (realisasi belanja APBD) dan rumah tangga.</w:t>
      </w:r>
      <w:proofErr w:type="gramEnd"/>
      <w:r w:rsidRPr="002146BF">
        <w:rPr>
          <w:rFonts w:ascii="Century Gothic" w:hAnsi="Century Gothic" w:cs="Bookman Old Style"/>
          <w:sz w:val="20"/>
          <w:szCs w:val="20"/>
        </w:rPr>
        <w:t xml:space="preserve"> </w:t>
      </w:r>
      <w:proofErr w:type="gramStart"/>
      <w:r w:rsidRPr="002146BF">
        <w:rPr>
          <w:rFonts w:ascii="Century Gothic" w:hAnsi="Century Gothic" w:cs="Bookman Old Style"/>
          <w:sz w:val="20"/>
          <w:szCs w:val="20"/>
        </w:rPr>
        <w:t>Kinerja sektor utama masih didominasi oleh sektor industri pengolahan; sektor perdagangan, hotel dan restoran; serta sektor pertanian.</w:t>
      </w:r>
      <w:proofErr w:type="gramEnd"/>
      <w:r w:rsidRPr="002146BF">
        <w:rPr>
          <w:rFonts w:ascii="Century Gothic" w:hAnsi="Century Gothic" w:cs="Bookman Old Style"/>
          <w:sz w:val="20"/>
          <w:szCs w:val="20"/>
        </w:rPr>
        <w:t xml:space="preserve"> </w:t>
      </w:r>
      <w:proofErr w:type="gramStart"/>
      <w:r w:rsidRPr="002146BF">
        <w:rPr>
          <w:rFonts w:ascii="Century Gothic" w:hAnsi="Century Gothic" w:cs="Bookman Old Style"/>
          <w:sz w:val="20"/>
          <w:szCs w:val="20"/>
        </w:rPr>
        <w:t xml:space="preserve">Perlambatan ekonomi </w:t>
      </w:r>
      <w:r w:rsidRPr="002146BF">
        <w:rPr>
          <w:rFonts w:ascii="Century Gothic" w:hAnsi="Century Gothic" w:cs="Bookman Old Style"/>
          <w:sz w:val="20"/>
          <w:szCs w:val="20"/>
        </w:rPr>
        <w:lastRenderedPageBreak/>
        <w:t>daerah dipengaruhi oleh melambatnya investasi daerah baik pada investasi bangunan maupun non bangunan.</w:t>
      </w:r>
      <w:proofErr w:type="gramEnd"/>
      <w:r w:rsidRPr="002146BF">
        <w:rPr>
          <w:rFonts w:ascii="Century Gothic" w:hAnsi="Century Gothic" w:cs="Bookman Old Style"/>
          <w:sz w:val="20"/>
          <w:szCs w:val="20"/>
        </w:rPr>
        <w:t xml:space="preserve"> Adanya hambatan dalam melakukan investasi di Kota Baubau disebabkan antara </w:t>
      </w:r>
      <w:proofErr w:type="gramStart"/>
      <w:r w:rsidRPr="002146BF">
        <w:rPr>
          <w:rFonts w:ascii="Century Gothic" w:hAnsi="Century Gothic" w:cs="Bookman Old Style"/>
          <w:sz w:val="20"/>
          <w:szCs w:val="20"/>
        </w:rPr>
        <w:t>lain</w:t>
      </w:r>
      <w:proofErr w:type="gramEnd"/>
      <w:r w:rsidRPr="002146BF">
        <w:rPr>
          <w:rFonts w:ascii="Century Gothic" w:hAnsi="Century Gothic" w:cs="Bookman Old Style"/>
          <w:sz w:val="20"/>
          <w:szCs w:val="20"/>
        </w:rPr>
        <w:t xml:space="preserve"> oleh keterbatasan infrastruktur, pelayanan investasi dan ketersediaan SDM. </w:t>
      </w:r>
      <w:proofErr w:type="gramStart"/>
      <w:r w:rsidRPr="002146BF">
        <w:rPr>
          <w:rFonts w:ascii="Century Gothic" w:hAnsi="Century Gothic" w:cs="Bookman Old Style"/>
          <w:sz w:val="20"/>
          <w:szCs w:val="20"/>
        </w:rPr>
        <w:t>Infrastruktur daerah dirasakan belum memadai terutama mengenai sarana prasarana energi, air, jalan, jembatan, pelabuhan maupun bandara.</w:t>
      </w:r>
      <w:proofErr w:type="gramEnd"/>
      <w:r w:rsidRPr="002146BF">
        <w:rPr>
          <w:rFonts w:ascii="Century Gothic" w:hAnsi="Century Gothic" w:cs="Bookman Old Style"/>
          <w:sz w:val="20"/>
          <w:szCs w:val="20"/>
        </w:rPr>
        <w:t xml:space="preserve"> Dalam rangka mendorong pertumbuhan ekonomi yang inklusif dan berkualitas serta antisipasi menghadapi MEA, kebijakan perekonomian Kota Bauba</w:t>
      </w:r>
      <w:r>
        <w:rPr>
          <w:rFonts w:ascii="Century Gothic" w:hAnsi="Century Gothic" w:cs="Bookman Old Style"/>
          <w:sz w:val="20"/>
          <w:szCs w:val="20"/>
        </w:rPr>
        <w:t>u</w:t>
      </w:r>
      <w:r w:rsidRPr="002146BF">
        <w:rPr>
          <w:rFonts w:ascii="Century Gothic" w:hAnsi="Century Gothic" w:cs="Bookman Old Style"/>
          <w:sz w:val="20"/>
          <w:szCs w:val="20"/>
        </w:rPr>
        <w:t xml:space="preserve"> ke depan antara lain diarahkan pada peningkatan perekonomian daerah berbasis potensi unggulan daerah, pembangunan infrastruktur, serta peningkatan kualitas sumber daya manusia.</w:t>
      </w:r>
      <w:r w:rsidRPr="006D4C3F">
        <w:rPr>
          <w:rFonts w:ascii="Century Gothic" w:hAnsi="Century Gothic" w:cs="Arial"/>
          <w:color w:val="000000"/>
          <w:sz w:val="20"/>
          <w:szCs w:val="20"/>
        </w:rPr>
        <w:t xml:space="preserve"> </w:t>
      </w:r>
    </w:p>
    <w:p w:rsidR="006D4C3F" w:rsidRDefault="006D4C3F" w:rsidP="006D4C3F">
      <w:pPr>
        <w:autoSpaceDE w:val="0"/>
        <w:autoSpaceDN w:val="0"/>
        <w:adjustRightInd w:val="0"/>
        <w:spacing w:after="0" w:line="360" w:lineRule="auto"/>
        <w:ind w:firstLine="720"/>
        <w:jc w:val="both"/>
        <w:rPr>
          <w:rFonts w:ascii="Century Gothic" w:hAnsi="Century Gothic" w:cs="Arial"/>
          <w:color w:val="000000"/>
          <w:sz w:val="20"/>
          <w:szCs w:val="20"/>
        </w:rPr>
      </w:pPr>
      <w:r w:rsidRPr="00B114CE">
        <w:rPr>
          <w:rFonts w:ascii="Century Gothic" w:hAnsi="Century Gothic" w:cs="Arial"/>
          <w:color w:val="000000"/>
          <w:sz w:val="20"/>
          <w:szCs w:val="20"/>
        </w:rPr>
        <w:t xml:space="preserve">Kerangka ekonomi </w:t>
      </w:r>
      <w:r>
        <w:rPr>
          <w:rFonts w:ascii="Century Gothic" w:hAnsi="Century Gothic" w:cs="Arial"/>
          <w:color w:val="000000"/>
          <w:sz w:val="20"/>
          <w:szCs w:val="20"/>
        </w:rPr>
        <w:t xml:space="preserve">Kota Baubau </w:t>
      </w:r>
      <w:r w:rsidRPr="00B114CE">
        <w:rPr>
          <w:rFonts w:ascii="Century Gothic" w:hAnsi="Century Gothic" w:cs="Arial"/>
          <w:color w:val="000000"/>
          <w:sz w:val="20"/>
          <w:szCs w:val="20"/>
        </w:rPr>
        <w:t>menjelaskan asumsi dasar dan target ekonomi makro yang menjadi dasar</w:t>
      </w:r>
      <w:r>
        <w:rPr>
          <w:rFonts w:ascii="Century Gothic" w:hAnsi="Century Gothic" w:cs="Arial"/>
          <w:color w:val="000000"/>
          <w:sz w:val="20"/>
          <w:szCs w:val="20"/>
        </w:rPr>
        <w:t xml:space="preserve"> </w:t>
      </w:r>
      <w:r w:rsidRPr="00B114CE">
        <w:rPr>
          <w:rFonts w:ascii="Century Gothic" w:hAnsi="Century Gothic" w:cs="Arial"/>
          <w:color w:val="000000"/>
          <w:sz w:val="20"/>
          <w:szCs w:val="20"/>
        </w:rPr>
        <w:t xml:space="preserve">penyusunan kebijakan keuangan daerah. </w:t>
      </w:r>
      <w:proofErr w:type="gramStart"/>
      <w:r w:rsidRPr="00B114CE">
        <w:rPr>
          <w:rFonts w:ascii="Century Gothic" w:hAnsi="Century Gothic" w:cs="Arial"/>
          <w:color w:val="000000"/>
          <w:sz w:val="20"/>
          <w:szCs w:val="20"/>
        </w:rPr>
        <w:t>Kerangka ekonomi daerah memuat</w:t>
      </w:r>
      <w:r>
        <w:rPr>
          <w:rFonts w:ascii="Century Gothic" w:hAnsi="Century Gothic" w:cs="Arial"/>
          <w:color w:val="000000"/>
          <w:sz w:val="20"/>
          <w:szCs w:val="20"/>
        </w:rPr>
        <w:t xml:space="preserve"> </w:t>
      </w:r>
      <w:r w:rsidRPr="00B114CE">
        <w:rPr>
          <w:rFonts w:ascii="Century Gothic" w:hAnsi="Century Gothic" w:cs="Arial"/>
          <w:color w:val="000000"/>
          <w:sz w:val="20"/>
          <w:szCs w:val="20"/>
        </w:rPr>
        <w:t xml:space="preserve">analisis dan perkiraan pertumbuhan ekonomi, </w:t>
      </w:r>
      <w:r>
        <w:rPr>
          <w:rFonts w:ascii="Century Gothic" w:hAnsi="Century Gothic" w:cs="Arial"/>
          <w:color w:val="000000"/>
          <w:sz w:val="20"/>
          <w:szCs w:val="20"/>
        </w:rPr>
        <w:t xml:space="preserve">dan </w:t>
      </w:r>
      <w:r w:rsidRPr="00B114CE">
        <w:rPr>
          <w:rFonts w:ascii="Century Gothic" w:hAnsi="Century Gothic" w:cs="Arial"/>
          <w:color w:val="000000"/>
          <w:sz w:val="20"/>
          <w:szCs w:val="20"/>
        </w:rPr>
        <w:t>inflasi.</w:t>
      </w:r>
      <w:proofErr w:type="gramEnd"/>
      <w:r w:rsidRPr="00B114CE">
        <w:rPr>
          <w:rFonts w:ascii="Century Gothic" w:hAnsi="Century Gothic" w:cs="Arial"/>
          <w:color w:val="000000"/>
          <w:sz w:val="20"/>
          <w:szCs w:val="20"/>
        </w:rPr>
        <w:t xml:space="preserve"> Kerangka ekonomi makro juga memperhitungkan pengaruh</w:t>
      </w:r>
      <w:r>
        <w:rPr>
          <w:rFonts w:ascii="Century Gothic" w:hAnsi="Century Gothic" w:cs="Arial"/>
          <w:color w:val="000000"/>
          <w:sz w:val="20"/>
          <w:szCs w:val="20"/>
        </w:rPr>
        <w:t xml:space="preserve"> </w:t>
      </w:r>
      <w:r w:rsidRPr="00B114CE">
        <w:rPr>
          <w:rFonts w:ascii="Century Gothic" w:hAnsi="Century Gothic" w:cs="Arial"/>
          <w:color w:val="000000"/>
          <w:sz w:val="20"/>
          <w:szCs w:val="20"/>
        </w:rPr>
        <w:t>perkembangan ekonomi daerah terhadap tingkat kemiskinan, tingkat</w:t>
      </w:r>
      <w:r>
        <w:rPr>
          <w:rFonts w:ascii="Century Gothic" w:hAnsi="Century Gothic" w:cs="Arial"/>
          <w:color w:val="000000"/>
          <w:sz w:val="20"/>
          <w:szCs w:val="20"/>
        </w:rPr>
        <w:t xml:space="preserve"> </w:t>
      </w:r>
      <w:r w:rsidRPr="00B114CE">
        <w:rPr>
          <w:rFonts w:ascii="Century Gothic" w:hAnsi="Century Gothic" w:cs="Arial"/>
          <w:color w:val="000000"/>
          <w:sz w:val="20"/>
          <w:szCs w:val="20"/>
        </w:rPr>
        <w:t>pengangguran terbuka, tingkat kesenjangan dan IP</w:t>
      </w:r>
      <w:r>
        <w:rPr>
          <w:rFonts w:ascii="Century Gothic" w:hAnsi="Century Gothic" w:cs="Arial"/>
          <w:color w:val="000000"/>
          <w:sz w:val="20"/>
          <w:szCs w:val="20"/>
        </w:rPr>
        <w:t xml:space="preserve">M, sebagaimana diuraikan berikut ini: </w:t>
      </w:r>
      <w:r w:rsidRPr="00B114CE">
        <w:rPr>
          <w:rFonts w:ascii="Century Gothic" w:hAnsi="Century Gothic" w:cs="Arial"/>
          <w:color w:val="000000"/>
          <w:sz w:val="20"/>
          <w:szCs w:val="20"/>
        </w:rPr>
        <w:t xml:space="preserve"> </w:t>
      </w:r>
    </w:p>
    <w:p w:rsidR="00790CB0" w:rsidRDefault="00790CB0" w:rsidP="006D4C3F">
      <w:pPr>
        <w:autoSpaceDE w:val="0"/>
        <w:autoSpaceDN w:val="0"/>
        <w:adjustRightInd w:val="0"/>
        <w:spacing w:after="0" w:line="360" w:lineRule="auto"/>
        <w:ind w:firstLine="720"/>
        <w:jc w:val="both"/>
        <w:rPr>
          <w:rFonts w:ascii="Century Gothic" w:hAnsi="Century Gothic" w:cs="Arial"/>
          <w:color w:val="000000"/>
          <w:sz w:val="20"/>
          <w:szCs w:val="20"/>
        </w:rPr>
      </w:pPr>
    </w:p>
    <w:p w:rsidR="00790CB0" w:rsidRDefault="008018B8" w:rsidP="00790CB0">
      <w:pPr>
        <w:spacing w:after="0" w:line="360" w:lineRule="auto"/>
        <w:jc w:val="both"/>
        <w:rPr>
          <w:rFonts w:ascii="Century Gothic" w:hAnsi="Century Gothic" w:cs="Arial"/>
          <w:sz w:val="20"/>
          <w:szCs w:val="20"/>
        </w:rPr>
      </w:pPr>
      <w:r>
        <w:rPr>
          <w:rFonts w:ascii="Century Gothic" w:hAnsi="Century Gothic"/>
          <w:b/>
          <w:smallCaps/>
          <w:color w:val="FFFFFF" w:themeColor="background1"/>
          <w:spacing w:val="20"/>
          <w:sz w:val="24"/>
          <w:szCs w:val="24"/>
          <w:highlight w:val="black"/>
        </w:rPr>
        <w:t xml:space="preserve"> </w:t>
      </w:r>
      <w:r w:rsidR="006D4C3F" w:rsidRPr="008018B8">
        <w:rPr>
          <w:rFonts w:ascii="Century Gothic" w:hAnsi="Century Gothic"/>
          <w:b/>
          <w:smallCaps/>
          <w:color w:val="FFFFFF" w:themeColor="background1"/>
          <w:spacing w:val="20"/>
          <w:sz w:val="24"/>
          <w:szCs w:val="24"/>
          <w:highlight w:val="black"/>
        </w:rPr>
        <w:t xml:space="preserve">Pertumbuhan </w:t>
      </w:r>
      <w:proofErr w:type="gramStart"/>
      <w:r w:rsidR="006D4C3F" w:rsidRPr="008018B8">
        <w:rPr>
          <w:rFonts w:ascii="Century Gothic" w:hAnsi="Century Gothic"/>
          <w:b/>
          <w:smallCaps/>
          <w:color w:val="FFFFFF" w:themeColor="background1"/>
          <w:spacing w:val="20"/>
          <w:sz w:val="24"/>
          <w:szCs w:val="24"/>
          <w:highlight w:val="black"/>
        </w:rPr>
        <w:t xml:space="preserve">Ekonomi </w:t>
      </w:r>
      <w:r w:rsidR="006D4C3F">
        <w:rPr>
          <w:rFonts w:ascii="Century Gothic" w:hAnsi="Century Gothic" w:cs="Segoe UI"/>
          <w:bCs/>
          <w:iCs/>
          <w:sz w:val="20"/>
          <w:szCs w:val="20"/>
        </w:rPr>
        <w:t xml:space="preserve"> </w:t>
      </w:r>
      <w:r w:rsidR="00C0667C" w:rsidRPr="002146BF">
        <w:rPr>
          <w:rFonts w:ascii="Century Gothic" w:hAnsi="Century Gothic" w:cs="Segoe UI"/>
          <w:bCs/>
          <w:iCs/>
          <w:sz w:val="20"/>
          <w:szCs w:val="20"/>
        </w:rPr>
        <w:t>Perekonomian</w:t>
      </w:r>
      <w:proofErr w:type="gramEnd"/>
      <w:r w:rsidR="00C0667C" w:rsidRPr="002146BF">
        <w:rPr>
          <w:rFonts w:ascii="Century Gothic" w:hAnsi="Century Gothic" w:cs="Segoe UI"/>
          <w:bCs/>
          <w:iCs/>
          <w:sz w:val="20"/>
          <w:szCs w:val="20"/>
        </w:rPr>
        <w:t xml:space="preserve"> dunia yang </w:t>
      </w:r>
      <w:r w:rsidR="00C0667C" w:rsidRPr="002146BF">
        <w:rPr>
          <w:rFonts w:ascii="Century Gothic" w:hAnsi="Century Gothic" w:cs="Segoe UI"/>
          <w:bCs/>
          <w:iCs/>
          <w:sz w:val="20"/>
          <w:szCs w:val="20"/>
          <w:lang w:val="id-ID"/>
        </w:rPr>
        <w:t xml:space="preserve">sudah mulai </w:t>
      </w:r>
      <w:r w:rsidR="00C0667C" w:rsidRPr="002146BF">
        <w:rPr>
          <w:rFonts w:ascii="Century Gothic" w:hAnsi="Century Gothic" w:cs="Segoe UI"/>
          <w:bCs/>
          <w:iCs/>
          <w:sz w:val="20"/>
          <w:szCs w:val="20"/>
        </w:rPr>
        <w:t xml:space="preserve">menunjukkan perbaikan pasca krisis keuangan di Eropa dan Amerika dan keterpurukan nilai </w:t>
      </w:r>
      <w:r w:rsidR="00C0667C" w:rsidRPr="002146BF">
        <w:rPr>
          <w:rFonts w:ascii="Century Gothic" w:hAnsi="Century Gothic" w:cs="Segoe UI"/>
          <w:bCs/>
          <w:iCs/>
          <w:sz w:val="20"/>
          <w:szCs w:val="20"/>
          <w:lang w:val="id-ID"/>
        </w:rPr>
        <w:t xml:space="preserve">tukar </w:t>
      </w:r>
      <w:r w:rsidR="00C0667C" w:rsidRPr="002146BF">
        <w:rPr>
          <w:rFonts w:ascii="Century Gothic" w:hAnsi="Century Gothic" w:cs="Segoe UI"/>
          <w:bCs/>
          <w:iCs/>
          <w:sz w:val="20"/>
          <w:szCs w:val="20"/>
        </w:rPr>
        <w:t xml:space="preserve">rupiah </w:t>
      </w:r>
      <w:r w:rsidR="00C0667C" w:rsidRPr="002146BF">
        <w:rPr>
          <w:rFonts w:ascii="Century Gothic" w:hAnsi="Century Gothic" w:cs="Segoe UI"/>
          <w:bCs/>
          <w:iCs/>
          <w:sz w:val="20"/>
          <w:szCs w:val="20"/>
          <w:lang w:val="id-ID"/>
        </w:rPr>
        <w:t xml:space="preserve">atas dolar </w:t>
      </w:r>
      <w:r w:rsidR="00C0667C" w:rsidRPr="002146BF">
        <w:rPr>
          <w:rFonts w:ascii="Century Gothic" w:hAnsi="Century Gothic" w:cs="Segoe UI"/>
          <w:bCs/>
          <w:iCs/>
          <w:sz w:val="20"/>
          <w:szCs w:val="20"/>
        </w:rPr>
        <w:t xml:space="preserve">pada berdampak </w:t>
      </w:r>
      <w:r w:rsidR="00D717FB">
        <w:rPr>
          <w:rFonts w:ascii="Century Gothic" w:hAnsi="Century Gothic" w:cs="Segoe UI"/>
          <w:bCs/>
          <w:iCs/>
          <w:sz w:val="20"/>
          <w:szCs w:val="20"/>
        </w:rPr>
        <w:t xml:space="preserve">nyata </w:t>
      </w:r>
      <w:r w:rsidR="00C0667C" w:rsidRPr="002146BF">
        <w:rPr>
          <w:rFonts w:ascii="Century Gothic" w:hAnsi="Century Gothic" w:cs="Segoe UI"/>
          <w:bCs/>
          <w:iCs/>
          <w:sz w:val="20"/>
          <w:szCs w:val="20"/>
        </w:rPr>
        <w:t xml:space="preserve">pada aktivitas perdagangan Kota Baubau </w:t>
      </w:r>
      <w:r w:rsidR="00D717FB">
        <w:rPr>
          <w:rFonts w:ascii="Century Gothic" w:hAnsi="Century Gothic" w:cs="Segoe UI"/>
          <w:bCs/>
          <w:iCs/>
          <w:sz w:val="20"/>
          <w:szCs w:val="20"/>
        </w:rPr>
        <w:t>dan</w:t>
      </w:r>
      <w:r w:rsidR="00C0667C" w:rsidRPr="002146BF">
        <w:rPr>
          <w:rFonts w:ascii="Century Gothic" w:hAnsi="Century Gothic" w:cs="Segoe UI"/>
          <w:bCs/>
          <w:iCs/>
          <w:sz w:val="20"/>
          <w:szCs w:val="20"/>
        </w:rPr>
        <w:t xml:space="preserve"> selanjutnya berpengaruh pada angka pertumbuhan ekonomi. Akan tetapi, tingkat konsumsi masyarakat yang masih terjaga menjadi kekuatan tersendiri untuk mendorong perekonomian Kota Baubau, sehingga sampai dengan akhir tahun 201</w:t>
      </w:r>
      <w:r w:rsidR="00C0667C" w:rsidRPr="002146BF">
        <w:rPr>
          <w:rFonts w:ascii="Century Gothic" w:hAnsi="Century Gothic" w:cs="Segoe UI"/>
          <w:bCs/>
          <w:iCs/>
          <w:sz w:val="20"/>
          <w:szCs w:val="20"/>
          <w:lang w:val="id-ID"/>
        </w:rPr>
        <w:t>4</w:t>
      </w:r>
      <w:r w:rsidR="00C0667C" w:rsidRPr="002146BF">
        <w:rPr>
          <w:rFonts w:ascii="Century Gothic" w:hAnsi="Century Gothic" w:cs="Segoe UI"/>
          <w:bCs/>
          <w:iCs/>
          <w:sz w:val="20"/>
          <w:szCs w:val="20"/>
        </w:rPr>
        <w:t xml:space="preserve"> pertumbuhan ekonomi telah mencapai 8,</w:t>
      </w:r>
      <w:r w:rsidR="003E6149" w:rsidRPr="00A22CEC">
        <w:rPr>
          <w:rFonts w:ascii="Century Gothic" w:hAnsi="Century Gothic" w:cs="Segoe UI"/>
          <w:bCs/>
          <w:iCs/>
          <w:sz w:val="20"/>
          <w:szCs w:val="20"/>
        </w:rPr>
        <w:t>63</w:t>
      </w:r>
      <w:r w:rsidR="00C0667C" w:rsidRPr="00A22CEC">
        <w:rPr>
          <w:rFonts w:ascii="Century Gothic" w:hAnsi="Century Gothic" w:cs="Segoe UI"/>
          <w:bCs/>
          <w:iCs/>
          <w:sz w:val="20"/>
          <w:szCs w:val="20"/>
        </w:rPr>
        <w:t>%</w:t>
      </w:r>
      <w:r w:rsidR="003E6149" w:rsidRPr="00A22CEC">
        <w:rPr>
          <w:rFonts w:ascii="Century Gothic" w:hAnsi="Century Gothic" w:cs="Segoe UI"/>
          <w:bCs/>
          <w:iCs/>
          <w:sz w:val="20"/>
          <w:szCs w:val="20"/>
        </w:rPr>
        <w:t xml:space="preserve">, menunjukkan pertumbuhan yang cukup signifikan </w:t>
      </w:r>
      <w:r w:rsidR="00C0667C" w:rsidRPr="00A22CEC">
        <w:rPr>
          <w:rFonts w:ascii="Century Gothic" w:hAnsi="Century Gothic" w:cs="Segoe UI"/>
          <w:bCs/>
          <w:iCs/>
          <w:sz w:val="20"/>
          <w:szCs w:val="20"/>
        </w:rPr>
        <w:t>jika dibandingkan dengan tahun 201</w:t>
      </w:r>
      <w:r w:rsidR="00C0667C" w:rsidRPr="00A22CEC">
        <w:rPr>
          <w:rFonts w:ascii="Century Gothic" w:hAnsi="Century Gothic" w:cs="Segoe UI"/>
          <w:bCs/>
          <w:iCs/>
          <w:sz w:val="20"/>
          <w:szCs w:val="20"/>
          <w:lang w:val="id-ID"/>
        </w:rPr>
        <w:t>3</w:t>
      </w:r>
      <w:r w:rsidR="00C0667C" w:rsidRPr="00A22CEC">
        <w:rPr>
          <w:rFonts w:ascii="Century Gothic" w:hAnsi="Century Gothic" w:cs="Segoe UI"/>
          <w:bCs/>
          <w:iCs/>
          <w:sz w:val="20"/>
          <w:szCs w:val="20"/>
        </w:rPr>
        <w:t xml:space="preserve"> yang mencapai </w:t>
      </w:r>
      <w:r w:rsidR="003E6149" w:rsidRPr="00A22CEC">
        <w:rPr>
          <w:rFonts w:ascii="Century Gothic" w:hAnsi="Century Gothic" w:cs="Segoe UI"/>
          <w:bCs/>
          <w:iCs/>
          <w:sz w:val="20"/>
          <w:szCs w:val="20"/>
        </w:rPr>
        <w:t>7,99</w:t>
      </w:r>
      <w:r w:rsidR="00C0667C" w:rsidRPr="00A22CEC">
        <w:rPr>
          <w:rFonts w:ascii="Century Gothic" w:hAnsi="Century Gothic" w:cs="Segoe UI"/>
          <w:bCs/>
          <w:iCs/>
          <w:sz w:val="20"/>
          <w:szCs w:val="20"/>
        </w:rPr>
        <w:t>%</w:t>
      </w:r>
      <w:r w:rsidR="003E6149" w:rsidRPr="00A22CEC">
        <w:rPr>
          <w:rFonts w:ascii="Century Gothic" w:hAnsi="Century Gothic" w:cs="Segoe UI"/>
          <w:bCs/>
          <w:iCs/>
          <w:sz w:val="20"/>
          <w:szCs w:val="20"/>
        </w:rPr>
        <w:t>,</w:t>
      </w:r>
      <w:r w:rsidR="00C0667C" w:rsidRPr="00A22CEC">
        <w:rPr>
          <w:rFonts w:ascii="Century Gothic" w:hAnsi="Century Gothic" w:cs="Segoe UI"/>
          <w:bCs/>
          <w:iCs/>
          <w:sz w:val="20"/>
          <w:szCs w:val="20"/>
        </w:rPr>
        <w:t xml:space="preserve"> </w:t>
      </w:r>
      <w:r w:rsidR="003E6149" w:rsidRPr="00A22CEC">
        <w:rPr>
          <w:rFonts w:ascii="Century Gothic" w:hAnsi="Century Gothic" w:cs="Arial"/>
          <w:sz w:val="20"/>
          <w:szCs w:val="20"/>
        </w:rPr>
        <w:t xml:space="preserve">Meski tidak sepesat tahun 2012 yang mencapai 9,83%. </w:t>
      </w:r>
    </w:p>
    <w:p w:rsidR="00790CB0" w:rsidRDefault="00C0667C" w:rsidP="00790CB0">
      <w:pPr>
        <w:spacing w:after="0" w:line="360" w:lineRule="auto"/>
        <w:jc w:val="both"/>
        <w:rPr>
          <w:rFonts w:ascii="Century Gothic" w:eastAsia="Times New Roman" w:hAnsi="Century Gothic" w:cs="Times New Roman"/>
          <w:color w:val="000000"/>
          <w:sz w:val="20"/>
          <w:szCs w:val="20"/>
        </w:rPr>
      </w:pPr>
      <w:proofErr w:type="gramStart"/>
      <w:r w:rsidRPr="00A22CEC">
        <w:rPr>
          <w:rFonts w:ascii="Century Gothic" w:hAnsi="Century Gothic" w:cs="Segoe UI"/>
          <w:bCs/>
          <w:iCs/>
          <w:sz w:val="20"/>
          <w:szCs w:val="20"/>
        </w:rPr>
        <w:t>Walaupun</w:t>
      </w:r>
      <w:r w:rsidRPr="002146BF">
        <w:rPr>
          <w:rFonts w:ascii="Century Gothic" w:hAnsi="Century Gothic" w:cs="Segoe UI"/>
          <w:bCs/>
          <w:iCs/>
          <w:sz w:val="20"/>
          <w:szCs w:val="20"/>
        </w:rPr>
        <w:t xml:space="preserve"> demikian, kinerja perekonomian Kota Baubau selama tahun 2014 </w:t>
      </w:r>
      <w:r w:rsidRPr="00790CB0">
        <w:rPr>
          <w:rFonts w:ascii="Century Gothic" w:hAnsi="Century Gothic" w:cs="Segoe UI"/>
          <w:bCs/>
          <w:iCs/>
          <w:sz w:val="20"/>
          <w:szCs w:val="20"/>
        </w:rPr>
        <w:t>cukup menggembirakan.</w:t>
      </w:r>
      <w:proofErr w:type="gramEnd"/>
      <w:r w:rsidRPr="00790CB0">
        <w:rPr>
          <w:rFonts w:ascii="Century Gothic" w:hAnsi="Century Gothic" w:cs="Segoe UI"/>
          <w:bCs/>
          <w:iCs/>
          <w:sz w:val="20"/>
          <w:szCs w:val="20"/>
        </w:rPr>
        <w:t xml:space="preserve"> </w:t>
      </w:r>
      <w:proofErr w:type="gramStart"/>
      <w:r w:rsidRPr="00790CB0">
        <w:rPr>
          <w:rFonts w:ascii="Century Gothic" w:hAnsi="Century Gothic" w:cs="Segoe UI"/>
          <w:bCs/>
          <w:iCs/>
          <w:sz w:val="20"/>
          <w:szCs w:val="20"/>
        </w:rPr>
        <w:t>Hal ini terlihat dari adanya peningkatan total nilai PDRB Kota Baubau, baik yang dihitung berdasarkan Harga Berlaku (PDRB ADHB) maupun Harga Konstan (PDRB ADHK).</w:t>
      </w:r>
      <w:proofErr w:type="gramEnd"/>
      <w:r w:rsidRPr="00790CB0">
        <w:rPr>
          <w:rFonts w:ascii="Century Gothic" w:hAnsi="Century Gothic" w:cs="Segoe UI"/>
          <w:bCs/>
          <w:iCs/>
          <w:sz w:val="20"/>
          <w:szCs w:val="20"/>
        </w:rPr>
        <w:t xml:space="preserve"> Selama tahun 201</w:t>
      </w:r>
      <w:r w:rsidRPr="00790CB0">
        <w:rPr>
          <w:rFonts w:ascii="Century Gothic" w:hAnsi="Century Gothic" w:cs="Segoe UI"/>
          <w:bCs/>
          <w:iCs/>
          <w:sz w:val="20"/>
          <w:szCs w:val="20"/>
          <w:lang w:val="id-ID"/>
        </w:rPr>
        <w:t>4</w:t>
      </w:r>
      <w:r w:rsidRPr="00790CB0">
        <w:rPr>
          <w:rFonts w:ascii="Century Gothic" w:hAnsi="Century Gothic" w:cs="Segoe UI"/>
          <w:bCs/>
          <w:iCs/>
          <w:sz w:val="20"/>
          <w:szCs w:val="20"/>
        </w:rPr>
        <w:t xml:space="preserve">, nilai PDRB ADHB Kota Baubau mencapai Rp. </w:t>
      </w:r>
      <w:r w:rsidR="00790CB0" w:rsidRPr="00790CB0">
        <w:rPr>
          <w:rFonts w:ascii="Century Gothic" w:eastAsia="Times New Roman" w:hAnsi="Century Gothic" w:cs="Times New Roman"/>
          <w:color w:val="000000"/>
          <w:sz w:val="20"/>
          <w:szCs w:val="20"/>
        </w:rPr>
        <w:t xml:space="preserve">5.324.301,30 </w:t>
      </w:r>
      <w:r w:rsidRPr="00790CB0">
        <w:rPr>
          <w:rFonts w:ascii="Century Gothic" w:hAnsi="Century Gothic" w:cs="Segoe UI"/>
          <w:bCs/>
          <w:iCs/>
          <w:sz w:val="20"/>
          <w:szCs w:val="20"/>
        </w:rPr>
        <w:t>juta, sementara ADHK Tahun 20</w:t>
      </w:r>
      <w:r w:rsidRPr="00790CB0">
        <w:rPr>
          <w:rFonts w:ascii="Century Gothic" w:hAnsi="Century Gothic" w:cs="Segoe UI"/>
          <w:bCs/>
          <w:iCs/>
          <w:sz w:val="20"/>
          <w:szCs w:val="20"/>
          <w:lang w:val="id-ID"/>
        </w:rPr>
        <w:t>10</w:t>
      </w:r>
      <w:r w:rsidRPr="00790CB0">
        <w:rPr>
          <w:rFonts w:ascii="Century Gothic" w:hAnsi="Century Gothic" w:cs="Segoe UI"/>
          <w:bCs/>
          <w:iCs/>
          <w:sz w:val="20"/>
          <w:szCs w:val="20"/>
        </w:rPr>
        <w:t xml:space="preserve"> sebesar Rp. </w:t>
      </w:r>
      <w:r w:rsidR="00790CB0" w:rsidRPr="00790CB0">
        <w:rPr>
          <w:rFonts w:ascii="Century Gothic" w:eastAsia="Times New Roman" w:hAnsi="Century Gothic" w:cs="Times New Roman"/>
          <w:color w:val="000000"/>
          <w:sz w:val="20"/>
          <w:szCs w:val="20"/>
        </w:rPr>
        <w:t xml:space="preserve">4.635.876,80 </w:t>
      </w:r>
      <w:r w:rsidRPr="00790CB0">
        <w:rPr>
          <w:rFonts w:ascii="Century Gothic" w:hAnsi="Century Gothic" w:cs="Segoe UI"/>
          <w:bCs/>
          <w:iCs/>
          <w:sz w:val="20"/>
          <w:szCs w:val="20"/>
        </w:rPr>
        <w:t>juta</w:t>
      </w:r>
      <w:r w:rsidRPr="00790CB0">
        <w:rPr>
          <w:rFonts w:ascii="Century Gothic" w:hAnsi="Century Gothic" w:cs="Calibri"/>
          <w:color w:val="000000" w:themeColor="text1"/>
          <w:sz w:val="20"/>
          <w:szCs w:val="20"/>
          <w:lang w:val="id-ID"/>
        </w:rPr>
        <w:t>.</w:t>
      </w:r>
      <w:r w:rsidR="00124BC3" w:rsidRPr="00790CB0">
        <w:rPr>
          <w:rFonts w:ascii="Century Gothic" w:hAnsi="Century Gothic" w:cs="Calibri"/>
          <w:color w:val="000000" w:themeColor="text1"/>
          <w:sz w:val="20"/>
          <w:szCs w:val="20"/>
        </w:rPr>
        <w:t xml:space="preserve"> </w:t>
      </w:r>
      <w:r w:rsidR="00790CB0" w:rsidRPr="00790CB0">
        <w:rPr>
          <w:rFonts w:ascii="Century Gothic" w:hAnsi="Century Gothic" w:cs="Calibri"/>
          <w:color w:val="000000" w:themeColor="text1"/>
          <w:sz w:val="20"/>
          <w:szCs w:val="20"/>
        </w:rPr>
        <w:t xml:space="preserve">Pada tahun 2015, perekonomian semakin stabil dengan tingkat pertumbuhan 8,99% yang </w:t>
      </w:r>
      <w:r w:rsidR="00790CB0">
        <w:rPr>
          <w:rFonts w:ascii="Century Gothic" w:hAnsi="Century Gothic" w:cs="Calibri"/>
          <w:color w:val="000000" w:themeColor="text1"/>
          <w:sz w:val="20"/>
          <w:szCs w:val="20"/>
        </w:rPr>
        <w:t xml:space="preserve">secara kumulatif menunjukkan pergerakan dari </w:t>
      </w:r>
      <w:r w:rsidR="00790CB0" w:rsidRPr="00790CB0">
        <w:rPr>
          <w:rFonts w:ascii="Century Gothic" w:hAnsi="Century Gothic" w:cs="Calibri"/>
          <w:color w:val="000000" w:themeColor="text1"/>
          <w:sz w:val="20"/>
          <w:szCs w:val="20"/>
        </w:rPr>
        <w:t>Produk domesti</w:t>
      </w:r>
      <w:r w:rsidR="00790CB0">
        <w:rPr>
          <w:rFonts w:ascii="Century Gothic" w:hAnsi="Century Gothic" w:cs="Calibri"/>
          <w:color w:val="000000" w:themeColor="text1"/>
          <w:sz w:val="20"/>
          <w:szCs w:val="20"/>
        </w:rPr>
        <w:t>k</w:t>
      </w:r>
      <w:r w:rsidR="00790CB0" w:rsidRPr="00790CB0">
        <w:rPr>
          <w:rFonts w:ascii="Century Gothic" w:hAnsi="Century Gothic" w:cs="Calibri"/>
          <w:color w:val="000000" w:themeColor="text1"/>
          <w:sz w:val="20"/>
          <w:szCs w:val="20"/>
        </w:rPr>
        <w:t xml:space="preserve"> bruto sebesar </w:t>
      </w:r>
      <w:r w:rsidR="00790CB0" w:rsidRPr="00790CB0">
        <w:rPr>
          <w:rFonts w:ascii="Century Gothic" w:eastAsia="Times New Roman" w:hAnsi="Century Gothic" w:cs="Times New Roman"/>
          <w:color w:val="000000"/>
          <w:sz w:val="20"/>
          <w:szCs w:val="20"/>
        </w:rPr>
        <w:t>Rp. 6.007.409,16  juta j</w:t>
      </w:r>
      <w:r w:rsidR="00790CB0">
        <w:rPr>
          <w:rFonts w:ascii="Century Gothic" w:eastAsia="Times New Roman" w:hAnsi="Century Gothic" w:cs="Times New Roman"/>
          <w:color w:val="000000"/>
          <w:sz w:val="20"/>
          <w:szCs w:val="20"/>
        </w:rPr>
        <w:t>i</w:t>
      </w:r>
      <w:r w:rsidR="00790CB0" w:rsidRPr="00790CB0">
        <w:rPr>
          <w:rFonts w:ascii="Century Gothic" w:eastAsia="Times New Roman" w:hAnsi="Century Gothic" w:cs="Times New Roman"/>
          <w:color w:val="000000"/>
          <w:sz w:val="20"/>
          <w:szCs w:val="20"/>
        </w:rPr>
        <w:t xml:space="preserve">ka ditinjau </w:t>
      </w:r>
      <w:r w:rsidR="00790CB0">
        <w:rPr>
          <w:rFonts w:ascii="Century Gothic" w:eastAsia="Times New Roman" w:hAnsi="Century Gothic" w:cs="Times New Roman"/>
          <w:color w:val="000000"/>
          <w:sz w:val="20"/>
          <w:szCs w:val="20"/>
        </w:rPr>
        <w:t>b</w:t>
      </w:r>
      <w:r w:rsidR="00790CB0" w:rsidRPr="00790CB0">
        <w:rPr>
          <w:rFonts w:ascii="Century Gothic" w:eastAsia="Times New Roman" w:hAnsi="Century Gothic" w:cs="Times New Roman"/>
          <w:color w:val="000000"/>
          <w:sz w:val="20"/>
          <w:szCs w:val="20"/>
        </w:rPr>
        <w:t>erdasarkan harga berlaku atau Rp.  5.052.642</w:t>
      </w:r>
      <w:proofErr w:type="gramStart"/>
      <w:r w:rsidR="00790CB0" w:rsidRPr="00790CB0">
        <w:rPr>
          <w:rFonts w:ascii="Century Gothic" w:eastAsia="Times New Roman" w:hAnsi="Century Gothic" w:cs="Times New Roman"/>
          <w:color w:val="000000"/>
          <w:sz w:val="20"/>
          <w:szCs w:val="20"/>
        </w:rPr>
        <w:t>,12</w:t>
      </w:r>
      <w:proofErr w:type="gramEnd"/>
      <w:r w:rsidR="00790CB0" w:rsidRPr="00790CB0">
        <w:rPr>
          <w:rFonts w:ascii="Century Gothic" w:eastAsia="Times New Roman" w:hAnsi="Century Gothic" w:cs="Times New Roman"/>
          <w:color w:val="000000"/>
          <w:sz w:val="20"/>
          <w:szCs w:val="20"/>
        </w:rPr>
        <w:t xml:space="preserve"> juta  berdasarkan ADHK 2010</w:t>
      </w:r>
    </w:p>
    <w:p w:rsidR="00F24F09" w:rsidRDefault="00F24F09" w:rsidP="006D4C3F">
      <w:pPr>
        <w:spacing w:before="360" w:after="120" w:line="360" w:lineRule="auto"/>
        <w:contextualSpacing/>
        <w:jc w:val="both"/>
        <w:rPr>
          <w:rFonts w:ascii="Century Gothic" w:hAnsi="Century Gothic"/>
          <w:b/>
          <w:smallCaps/>
        </w:rPr>
      </w:pPr>
    </w:p>
    <w:p w:rsidR="00AD5C8A" w:rsidRDefault="008018B8" w:rsidP="006D4C3F">
      <w:pPr>
        <w:spacing w:before="360" w:after="120" w:line="360" w:lineRule="auto"/>
        <w:contextualSpacing/>
        <w:jc w:val="both"/>
        <w:rPr>
          <w:rFonts w:ascii="Century Gothic" w:hAnsi="Century Gothic"/>
          <w:sz w:val="20"/>
          <w:szCs w:val="20"/>
        </w:rPr>
      </w:pPr>
      <w:r>
        <w:rPr>
          <w:rFonts w:ascii="Century Gothic" w:hAnsi="Century Gothic"/>
          <w:b/>
          <w:smallCaps/>
          <w:color w:val="FFFFFF" w:themeColor="background1"/>
          <w:spacing w:val="20"/>
          <w:sz w:val="24"/>
          <w:szCs w:val="24"/>
          <w:highlight w:val="black"/>
        </w:rPr>
        <w:lastRenderedPageBreak/>
        <w:t xml:space="preserve"> </w:t>
      </w:r>
      <w:r w:rsidR="00AD5C8A" w:rsidRPr="008018B8">
        <w:rPr>
          <w:rFonts w:ascii="Century Gothic" w:hAnsi="Century Gothic"/>
          <w:b/>
          <w:smallCaps/>
          <w:color w:val="FFFFFF" w:themeColor="background1"/>
          <w:spacing w:val="20"/>
          <w:sz w:val="24"/>
          <w:szCs w:val="24"/>
          <w:highlight w:val="black"/>
        </w:rPr>
        <w:t xml:space="preserve">Struktur </w:t>
      </w:r>
      <w:proofErr w:type="gramStart"/>
      <w:r w:rsidR="00AD5C8A" w:rsidRPr="008018B8">
        <w:rPr>
          <w:rFonts w:ascii="Century Gothic" w:hAnsi="Century Gothic"/>
          <w:b/>
          <w:smallCaps/>
          <w:color w:val="FFFFFF" w:themeColor="background1"/>
          <w:spacing w:val="20"/>
          <w:sz w:val="24"/>
          <w:szCs w:val="24"/>
          <w:highlight w:val="black"/>
        </w:rPr>
        <w:t>Ekonomi</w:t>
      </w:r>
      <w:r>
        <w:rPr>
          <w:rFonts w:ascii="Century Gothic" w:hAnsi="Century Gothic"/>
          <w:b/>
          <w:smallCaps/>
          <w:color w:val="FFFFFF" w:themeColor="background1"/>
          <w:spacing w:val="20"/>
          <w:sz w:val="24"/>
          <w:szCs w:val="24"/>
        </w:rPr>
        <w:t xml:space="preserve"> </w:t>
      </w:r>
      <w:r w:rsidR="00AD5C8A" w:rsidRPr="002146BF">
        <w:rPr>
          <w:rFonts w:ascii="Century Gothic" w:hAnsi="Century Gothic"/>
          <w:b/>
          <w:sz w:val="20"/>
          <w:szCs w:val="20"/>
        </w:rPr>
        <w:t xml:space="preserve"> </w:t>
      </w:r>
      <w:r w:rsidR="00AD5C8A" w:rsidRPr="002146BF">
        <w:rPr>
          <w:rFonts w:ascii="Century Gothic" w:hAnsi="Century Gothic"/>
          <w:sz w:val="20"/>
          <w:szCs w:val="20"/>
        </w:rPr>
        <w:t>Perekonomian</w:t>
      </w:r>
      <w:proofErr w:type="gramEnd"/>
      <w:r w:rsidR="00AD5C8A" w:rsidRPr="002146BF">
        <w:rPr>
          <w:rFonts w:ascii="Century Gothic" w:hAnsi="Century Gothic"/>
          <w:sz w:val="20"/>
          <w:szCs w:val="20"/>
        </w:rPr>
        <w:t xml:space="preserve"> suatu wilayah diukur berdasarkan perhitungan Produk Domestik Regional Bruto (PDRB) yang memberikan kerangka dasar yang digunakan untuk mengukur aktifitas ekonomi yang sedang berlangsung dalam suatu kegiatan perekonomian. </w:t>
      </w:r>
      <w:proofErr w:type="gramStart"/>
      <w:r w:rsidR="00AD5C8A" w:rsidRPr="002146BF">
        <w:rPr>
          <w:rFonts w:ascii="Century Gothic" w:hAnsi="Century Gothic"/>
          <w:sz w:val="20"/>
          <w:szCs w:val="20"/>
        </w:rPr>
        <w:t>Angka PDRB sebagai indikator ekonomi digunakan sebagai landasan evaluasi kinerja perekonomian dan penyusunan berbagai kebijakan serta memberikan Grafikan aliran seluruh nilai tambah barang dan jasa yang dihasilkan dan seluruh faktor-faktor produksi untuk menghasilkan nilai tambah barang dan jasa.</w:t>
      </w:r>
      <w:proofErr w:type="gramEnd"/>
      <w:r w:rsidR="00AD5C8A" w:rsidRPr="002146BF">
        <w:rPr>
          <w:rFonts w:ascii="Century Gothic" w:hAnsi="Century Gothic"/>
          <w:sz w:val="20"/>
          <w:szCs w:val="20"/>
        </w:rPr>
        <w:t xml:space="preserve"> </w:t>
      </w:r>
      <w:proofErr w:type="gramStart"/>
      <w:r w:rsidR="00AD5C8A" w:rsidRPr="002146BF">
        <w:rPr>
          <w:rFonts w:ascii="Century Gothic" w:hAnsi="Century Gothic"/>
          <w:sz w:val="20"/>
          <w:szCs w:val="20"/>
        </w:rPr>
        <w:t>Nilai PDRB tersebut dihitung berdasarkan masing-masing sektor.</w:t>
      </w:r>
      <w:proofErr w:type="gramEnd"/>
      <w:r w:rsidR="00AD5C8A" w:rsidRPr="002146BF">
        <w:rPr>
          <w:rFonts w:ascii="Century Gothic" w:hAnsi="Century Gothic"/>
          <w:sz w:val="20"/>
          <w:szCs w:val="20"/>
        </w:rPr>
        <w:t xml:space="preserve"> </w:t>
      </w:r>
    </w:p>
    <w:p w:rsidR="008018B8" w:rsidRPr="002146BF" w:rsidRDefault="008018B8" w:rsidP="008018B8">
      <w:pPr>
        <w:spacing w:after="0" w:line="240" w:lineRule="auto"/>
        <w:ind w:left="1282" w:hanging="1282"/>
        <w:jc w:val="center"/>
        <w:rPr>
          <w:rFonts w:ascii="Century Gothic" w:hAnsi="Century Gothic" w:cstheme="minorHAnsi"/>
          <w:b/>
          <w:sz w:val="20"/>
          <w:szCs w:val="20"/>
        </w:rPr>
      </w:pPr>
      <w:r>
        <w:rPr>
          <w:rFonts w:ascii="Century Gothic" w:hAnsi="Century Gothic" w:cstheme="minorHAnsi"/>
          <w:b/>
          <w:sz w:val="20"/>
          <w:szCs w:val="20"/>
        </w:rPr>
        <w:t xml:space="preserve">Tabel </w:t>
      </w:r>
      <w:r w:rsidR="006550EE">
        <w:rPr>
          <w:rFonts w:ascii="Century Gothic" w:hAnsi="Century Gothic" w:cstheme="minorHAnsi"/>
          <w:b/>
          <w:sz w:val="20"/>
          <w:szCs w:val="20"/>
        </w:rPr>
        <w:t>3.1</w:t>
      </w:r>
    </w:p>
    <w:p w:rsidR="008018B8" w:rsidRPr="002146BF" w:rsidRDefault="008018B8" w:rsidP="008018B8">
      <w:pPr>
        <w:spacing w:after="0" w:line="240" w:lineRule="auto"/>
        <w:ind w:left="1282" w:hanging="1282"/>
        <w:jc w:val="center"/>
        <w:rPr>
          <w:rFonts w:ascii="Century Gothic" w:hAnsi="Century Gothic" w:cstheme="minorHAnsi"/>
          <w:b/>
          <w:sz w:val="20"/>
          <w:szCs w:val="20"/>
        </w:rPr>
      </w:pPr>
      <w:r w:rsidRPr="002146BF">
        <w:rPr>
          <w:rFonts w:ascii="Century Gothic" w:hAnsi="Century Gothic" w:cstheme="minorHAnsi"/>
          <w:b/>
          <w:sz w:val="20"/>
          <w:szCs w:val="20"/>
        </w:rPr>
        <w:t xml:space="preserve">Nilai dan Peranan Sektor Ekonomi dalam PDRB </w:t>
      </w:r>
      <w:r>
        <w:rPr>
          <w:rFonts w:ascii="Century Gothic" w:hAnsi="Century Gothic" w:cstheme="minorHAnsi"/>
          <w:b/>
          <w:sz w:val="20"/>
          <w:szCs w:val="20"/>
        </w:rPr>
        <w:t>Kota Baubau</w:t>
      </w:r>
      <w:r w:rsidRPr="002146BF">
        <w:rPr>
          <w:rFonts w:ascii="Century Gothic" w:hAnsi="Century Gothic" w:cstheme="minorHAnsi"/>
          <w:b/>
          <w:sz w:val="20"/>
          <w:szCs w:val="20"/>
        </w:rPr>
        <w:t xml:space="preserve"> Atas D</w:t>
      </w:r>
      <w:r>
        <w:rPr>
          <w:rFonts w:ascii="Century Gothic" w:hAnsi="Century Gothic" w:cstheme="minorHAnsi"/>
          <w:b/>
          <w:sz w:val="20"/>
          <w:szCs w:val="20"/>
        </w:rPr>
        <w:t xml:space="preserve">asar Harga Berlaku </w:t>
      </w:r>
    </w:p>
    <w:tbl>
      <w:tblPr>
        <w:tblW w:w="5000" w:type="pct"/>
        <w:tblBorders>
          <w:top w:val="single" w:sz="8" w:space="0" w:color="auto"/>
          <w:bottom w:val="single" w:sz="8" w:space="0" w:color="auto"/>
          <w:insideH w:val="single" w:sz="8" w:space="0" w:color="auto"/>
        </w:tblBorders>
        <w:tblLook w:val="04A0" w:firstRow="1" w:lastRow="0" w:firstColumn="1" w:lastColumn="0" w:noHBand="0" w:noVBand="1"/>
      </w:tblPr>
      <w:tblGrid>
        <w:gridCol w:w="581"/>
        <w:gridCol w:w="3646"/>
        <w:gridCol w:w="1384"/>
        <w:gridCol w:w="798"/>
        <w:gridCol w:w="1408"/>
        <w:gridCol w:w="909"/>
      </w:tblGrid>
      <w:tr w:rsidR="008018B8" w:rsidRPr="002146BF" w:rsidTr="00227282">
        <w:trPr>
          <w:trHeight w:val="76"/>
        </w:trPr>
        <w:tc>
          <w:tcPr>
            <w:tcW w:w="333" w:type="pct"/>
            <w:vMerge w:val="restart"/>
            <w:shd w:val="clear" w:color="000000" w:fill="92CDDC"/>
            <w:noWrap/>
            <w:vAlign w:val="center"/>
            <w:hideMark/>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NO</w:t>
            </w:r>
          </w:p>
        </w:tc>
        <w:tc>
          <w:tcPr>
            <w:tcW w:w="2089" w:type="pct"/>
            <w:vMerge w:val="restart"/>
            <w:shd w:val="clear" w:color="000000" w:fill="92CDDC"/>
            <w:vAlign w:val="center"/>
            <w:hideMark/>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SEKTOR</w:t>
            </w:r>
          </w:p>
        </w:tc>
        <w:tc>
          <w:tcPr>
            <w:tcW w:w="1250" w:type="pct"/>
            <w:gridSpan w:val="2"/>
            <w:shd w:val="clear" w:color="000000" w:fill="92CDDC"/>
            <w:vAlign w:val="center"/>
            <w:hideMark/>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2014</w:t>
            </w:r>
          </w:p>
        </w:tc>
        <w:tc>
          <w:tcPr>
            <w:tcW w:w="1328" w:type="pct"/>
            <w:gridSpan w:val="2"/>
            <w:shd w:val="clear" w:color="000000" w:fill="92CDDC"/>
            <w:vAlign w:val="center"/>
          </w:tcPr>
          <w:p w:rsidR="008018B8" w:rsidRPr="002146BF" w:rsidRDefault="008018B8" w:rsidP="00227282">
            <w:pPr>
              <w:spacing w:after="0"/>
              <w:ind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2015**</w:t>
            </w:r>
          </w:p>
        </w:tc>
      </w:tr>
      <w:tr w:rsidR="008018B8" w:rsidRPr="002146BF" w:rsidTr="00227282">
        <w:trPr>
          <w:trHeight w:val="76"/>
        </w:trPr>
        <w:tc>
          <w:tcPr>
            <w:tcW w:w="333" w:type="pct"/>
            <w:vMerge/>
            <w:vAlign w:val="center"/>
            <w:hideMark/>
          </w:tcPr>
          <w:p w:rsidR="008018B8" w:rsidRPr="002146BF" w:rsidRDefault="008018B8" w:rsidP="00227282">
            <w:pPr>
              <w:spacing w:after="0"/>
              <w:ind w:left="-57" w:right="-57"/>
              <w:rPr>
                <w:rFonts w:ascii="Century Gothic" w:eastAsia="Times New Roman" w:hAnsi="Century Gothic"/>
                <w:b/>
                <w:bCs/>
                <w:color w:val="000000"/>
                <w:sz w:val="16"/>
                <w:szCs w:val="16"/>
              </w:rPr>
            </w:pPr>
          </w:p>
        </w:tc>
        <w:tc>
          <w:tcPr>
            <w:tcW w:w="2089" w:type="pct"/>
            <w:vMerge/>
            <w:vAlign w:val="center"/>
            <w:hideMark/>
          </w:tcPr>
          <w:p w:rsidR="008018B8" w:rsidRPr="002146BF" w:rsidRDefault="008018B8" w:rsidP="00227282">
            <w:pPr>
              <w:spacing w:after="0"/>
              <w:ind w:left="-57" w:right="-57"/>
              <w:rPr>
                <w:rFonts w:ascii="Century Gothic" w:eastAsia="Times New Roman" w:hAnsi="Century Gothic"/>
                <w:b/>
                <w:bCs/>
                <w:color w:val="000000"/>
                <w:sz w:val="16"/>
                <w:szCs w:val="16"/>
              </w:rPr>
            </w:pPr>
          </w:p>
        </w:tc>
        <w:tc>
          <w:tcPr>
            <w:tcW w:w="793" w:type="pct"/>
            <w:shd w:val="clear" w:color="000000" w:fill="92CDDC"/>
            <w:vAlign w:val="center"/>
            <w:hideMark/>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(Juta  RP)</w:t>
            </w:r>
          </w:p>
        </w:tc>
        <w:tc>
          <w:tcPr>
            <w:tcW w:w="457" w:type="pct"/>
            <w:shd w:val="clear" w:color="000000" w:fill="92CDDC"/>
            <w:vAlign w:val="center"/>
            <w:hideMark/>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w:t>
            </w:r>
          </w:p>
        </w:tc>
        <w:tc>
          <w:tcPr>
            <w:tcW w:w="807" w:type="pct"/>
            <w:shd w:val="clear" w:color="000000" w:fill="92CDDC"/>
            <w:vAlign w:val="center"/>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(Juta  RP)</w:t>
            </w:r>
          </w:p>
        </w:tc>
        <w:tc>
          <w:tcPr>
            <w:tcW w:w="521" w:type="pct"/>
            <w:shd w:val="clear" w:color="000000" w:fill="92CDDC"/>
            <w:vAlign w:val="center"/>
          </w:tcPr>
          <w:p w:rsidR="008018B8" w:rsidRPr="002146BF" w:rsidRDefault="008018B8" w:rsidP="00227282">
            <w:pPr>
              <w:spacing w:after="0"/>
              <w:ind w:left="-57" w:right="-57"/>
              <w:jc w:val="center"/>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Pertanian, Kehutanan dan Perikanan</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650.658,30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14,04</w:t>
            </w:r>
          </w:p>
        </w:tc>
        <w:tc>
          <w:tcPr>
            <w:tcW w:w="807"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709.717,21</w:t>
            </w:r>
          </w:p>
        </w:tc>
        <w:tc>
          <w:tcPr>
            <w:tcW w:w="521"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14,10</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2</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Pertambangan dan Penggalian</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207.795,90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4,48</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227.132,76</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4,49</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3</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Industri Pengolahan</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196.519,50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4,24</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215.547,90</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4,25</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4</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Pengadaan Listrik dan Gas</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3.514,00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0,08</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3.842,52</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0,08</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5</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Pengadaan air, Pengelolaan Sampah, Limbah dan Daur Ulang</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15.811,10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0,34</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16.722,24</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0,34</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6</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Konstruksi</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942.549,70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20,33</w:t>
            </w:r>
          </w:p>
        </w:tc>
        <w:tc>
          <w:tcPr>
            <w:tcW w:w="807"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997.397,61</w:t>
            </w:r>
          </w:p>
        </w:tc>
        <w:tc>
          <w:tcPr>
            <w:tcW w:w="521"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20,42</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7</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Perdagangan Besar dan Eceran; Reparasi Mobil dan Motor</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842.103,50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18,16</w:t>
            </w:r>
          </w:p>
        </w:tc>
        <w:tc>
          <w:tcPr>
            <w:tcW w:w="807"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907.353,29</w:t>
            </w:r>
          </w:p>
        </w:tc>
        <w:tc>
          <w:tcPr>
            <w:tcW w:w="521" w:type="pct"/>
            <w:shd w:val="clear" w:color="auto" w:fill="auto"/>
            <w:vAlign w:val="center"/>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18,17</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8</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Transportasi dan Pergudangan</w:t>
            </w:r>
          </w:p>
        </w:tc>
        <w:tc>
          <w:tcPr>
            <w:tcW w:w="793"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257.679,30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5,56</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272.978,86</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5,57</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9</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Penyediaan Akomodasi dan Makan Minum</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58.364,80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1,26</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63.116,65</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1,20</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10</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Informasi dan Komunikasi</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197.372,20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4,26</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202.832,31</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4,28</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11</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Jasa Keuangan &amp; Asuransi</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131.793,90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2,84</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145.640,63</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2,90</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12</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Real Estate</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150.691,30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3,25</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162.740,23</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3,26</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13</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Jasa Perusahaaan</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7.547,10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0,16</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8.672,21</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0,18</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14</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Administrasi Pemerintahan, Pertanahan dan Jaminan Sosial</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416.252,50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8,98</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459.139,80</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9,01</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15</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Jasa Pendidikan</w:t>
            </w:r>
          </w:p>
        </w:tc>
        <w:tc>
          <w:tcPr>
            <w:tcW w:w="793"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327.567,10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7,07</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360.827,73</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7,08</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16</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Jasa Kesehatan dan Kegiatan Sosial</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58.332,10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1,26</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61.295,94</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1,27</w:t>
            </w:r>
          </w:p>
        </w:tc>
      </w:tr>
      <w:tr w:rsidR="008018B8" w:rsidRPr="002146BF" w:rsidTr="00227282">
        <w:trPr>
          <w:trHeight w:val="283"/>
        </w:trPr>
        <w:tc>
          <w:tcPr>
            <w:tcW w:w="333" w:type="pct"/>
            <w:shd w:val="clear" w:color="auto" w:fill="auto"/>
            <w:noWrap/>
            <w:vAlign w:val="center"/>
            <w:hideMark/>
          </w:tcPr>
          <w:p w:rsidR="008018B8" w:rsidRPr="002146BF" w:rsidRDefault="008018B8" w:rsidP="00227282">
            <w:pPr>
              <w:spacing w:after="0"/>
              <w:ind w:left="-57" w:right="-57"/>
              <w:jc w:val="center"/>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17</w:t>
            </w:r>
          </w:p>
        </w:tc>
        <w:tc>
          <w:tcPr>
            <w:tcW w:w="2089" w:type="pct"/>
            <w:shd w:val="clear" w:color="auto" w:fill="auto"/>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Jasa Lainnya</w:t>
            </w:r>
          </w:p>
        </w:tc>
        <w:tc>
          <w:tcPr>
            <w:tcW w:w="793" w:type="pct"/>
            <w:shd w:val="clear" w:color="auto" w:fill="auto"/>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171.324,50</w:t>
            </w:r>
          </w:p>
        </w:tc>
        <w:tc>
          <w:tcPr>
            <w:tcW w:w="457" w:type="pct"/>
            <w:shd w:val="clear" w:color="auto" w:fill="auto"/>
            <w:noWrap/>
            <w:vAlign w:val="center"/>
            <w:hideMark/>
          </w:tcPr>
          <w:p w:rsidR="008018B8" w:rsidRPr="002146BF" w:rsidRDefault="008018B8" w:rsidP="00227282">
            <w:pPr>
              <w:spacing w:after="0" w:line="240" w:lineRule="auto"/>
              <w:ind w:left="-57" w:right="-57"/>
              <w:jc w:val="center"/>
              <w:rPr>
                <w:rFonts w:ascii="Century Gothic" w:hAnsi="Century Gothic"/>
                <w:sz w:val="16"/>
                <w:szCs w:val="16"/>
              </w:rPr>
            </w:pPr>
            <w:r w:rsidRPr="002146BF">
              <w:rPr>
                <w:rFonts w:ascii="Century Gothic" w:hAnsi="Century Gothic"/>
                <w:sz w:val="16"/>
                <w:szCs w:val="16"/>
              </w:rPr>
              <w:t>3,70</w:t>
            </w:r>
          </w:p>
        </w:tc>
        <w:tc>
          <w:tcPr>
            <w:tcW w:w="807"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187.546,64</w:t>
            </w:r>
          </w:p>
        </w:tc>
        <w:tc>
          <w:tcPr>
            <w:tcW w:w="521" w:type="pct"/>
            <w:shd w:val="clear" w:color="auto" w:fill="auto"/>
            <w:vAlign w:val="center"/>
          </w:tcPr>
          <w:p w:rsidR="008018B8" w:rsidRPr="002146BF" w:rsidRDefault="008018B8" w:rsidP="00227282">
            <w:pPr>
              <w:spacing w:after="0" w:line="240" w:lineRule="auto"/>
              <w:ind w:right="-57"/>
              <w:jc w:val="center"/>
              <w:rPr>
                <w:rFonts w:ascii="Century Gothic" w:hAnsi="Century Gothic"/>
                <w:sz w:val="16"/>
                <w:szCs w:val="16"/>
              </w:rPr>
            </w:pPr>
            <w:r w:rsidRPr="002146BF">
              <w:rPr>
                <w:rFonts w:ascii="Century Gothic" w:hAnsi="Century Gothic"/>
                <w:sz w:val="16"/>
                <w:szCs w:val="16"/>
              </w:rPr>
              <w:t>3,71</w:t>
            </w:r>
          </w:p>
        </w:tc>
      </w:tr>
      <w:tr w:rsidR="008018B8" w:rsidRPr="002146BF" w:rsidTr="00227282">
        <w:trPr>
          <w:trHeight w:val="283"/>
        </w:trPr>
        <w:tc>
          <w:tcPr>
            <w:tcW w:w="333" w:type="pct"/>
            <w:shd w:val="clear" w:color="000000" w:fill="538ED5"/>
            <w:noWrap/>
            <w:vAlign w:val="center"/>
            <w:hideMark/>
          </w:tcPr>
          <w:p w:rsidR="008018B8" w:rsidRPr="002146BF" w:rsidRDefault="008018B8" w:rsidP="00227282">
            <w:pPr>
              <w:spacing w:after="0"/>
              <w:ind w:left="-57" w:right="-57"/>
              <w:rPr>
                <w:rFonts w:ascii="Century Gothic" w:eastAsia="Times New Roman" w:hAnsi="Century Gothic"/>
                <w:color w:val="000000"/>
                <w:sz w:val="16"/>
                <w:szCs w:val="16"/>
              </w:rPr>
            </w:pPr>
            <w:r w:rsidRPr="002146BF">
              <w:rPr>
                <w:rFonts w:ascii="Century Gothic" w:eastAsia="Times New Roman" w:hAnsi="Century Gothic"/>
                <w:color w:val="000000"/>
                <w:sz w:val="16"/>
                <w:szCs w:val="16"/>
              </w:rPr>
              <w:t> </w:t>
            </w:r>
          </w:p>
        </w:tc>
        <w:tc>
          <w:tcPr>
            <w:tcW w:w="2089" w:type="pct"/>
            <w:shd w:val="clear" w:color="000000" w:fill="538DD5"/>
            <w:vAlign w:val="center"/>
            <w:hideMark/>
          </w:tcPr>
          <w:p w:rsidR="008018B8" w:rsidRPr="002146BF" w:rsidRDefault="008018B8" w:rsidP="00227282">
            <w:pPr>
              <w:spacing w:after="0"/>
              <w:ind w:left="-57" w:right="-57"/>
              <w:rPr>
                <w:rFonts w:ascii="Century Gothic" w:eastAsia="Times New Roman" w:hAnsi="Century Gothic"/>
                <w:b/>
                <w:bCs/>
                <w:color w:val="000000"/>
                <w:sz w:val="16"/>
                <w:szCs w:val="16"/>
              </w:rPr>
            </w:pPr>
            <w:r w:rsidRPr="002146BF">
              <w:rPr>
                <w:rFonts w:ascii="Century Gothic" w:eastAsia="Times New Roman" w:hAnsi="Century Gothic"/>
                <w:b/>
                <w:bCs/>
                <w:color w:val="000000"/>
                <w:sz w:val="16"/>
                <w:szCs w:val="16"/>
              </w:rPr>
              <w:t>PDRB</w:t>
            </w:r>
          </w:p>
        </w:tc>
        <w:tc>
          <w:tcPr>
            <w:tcW w:w="793" w:type="pct"/>
            <w:shd w:val="clear" w:color="000000" w:fill="538DD5"/>
            <w:noWrap/>
            <w:vAlign w:val="center"/>
            <w:hideMark/>
          </w:tcPr>
          <w:p w:rsidR="008018B8" w:rsidRPr="002146BF" w:rsidRDefault="008018B8" w:rsidP="00227282">
            <w:pPr>
              <w:spacing w:after="0" w:line="240" w:lineRule="auto"/>
              <w:ind w:left="-57" w:right="-57"/>
              <w:jc w:val="center"/>
              <w:rPr>
                <w:rFonts w:ascii="Century Gothic" w:hAnsi="Century Gothic"/>
                <w:b/>
                <w:bCs/>
                <w:sz w:val="16"/>
                <w:szCs w:val="16"/>
              </w:rPr>
            </w:pPr>
            <w:r w:rsidRPr="002146BF">
              <w:rPr>
                <w:rFonts w:ascii="Century Gothic" w:hAnsi="Century Gothic"/>
                <w:b/>
                <w:bCs/>
                <w:sz w:val="16"/>
                <w:szCs w:val="16"/>
              </w:rPr>
              <w:t>4.635.876,80</w:t>
            </w:r>
          </w:p>
        </w:tc>
        <w:tc>
          <w:tcPr>
            <w:tcW w:w="457" w:type="pct"/>
            <w:shd w:val="clear" w:color="000000" w:fill="538DD5"/>
            <w:noWrap/>
            <w:vAlign w:val="center"/>
            <w:hideMark/>
          </w:tcPr>
          <w:p w:rsidR="008018B8" w:rsidRPr="002146BF" w:rsidRDefault="008018B8" w:rsidP="00227282">
            <w:pPr>
              <w:spacing w:after="0" w:line="240" w:lineRule="auto"/>
              <w:ind w:left="-57" w:right="-57"/>
              <w:jc w:val="center"/>
              <w:rPr>
                <w:rFonts w:ascii="Century Gothic" w:hAnsi="Century Gothic"/>
                <w:b/>
                <w:bCs/>
                <w:sz w:val="16"/>
                <w:szCs w:val="16"/>
              </w:rPr>
            </w:pPr>
            <w:r w:rsidRPr="002146BF">
              <w:rPr>
                <w:rFonts w:ascii="Century Gothic" w:hAnsi="Century Gothic"/>
                <w:b/>
                <w:bCs/>
                <w:sz w:val="16"/>
                <w:szCs w:val="16"/>
              </w:rPr>
              <w:t>100,00</w:t>
            </w:r>
          </w:p>
        </w:tc>
        <w:tc>
          <w:tcPr>
            <w:tcW w:w="807" w:type="pct"/>
            <w:shd w:val="clear" w:color="000000" w:fill="538DD5"/>
            <w:vAlign w:val="center"/>
          </w:tcPr>
          <w:p w:rsidR="008018B8" w:rsidRPr="002146BF" w:rsidRDefault="008018B8" w:rsidP="00227282">
            <w:pPr>
              <w:spacing w:after="0" w:line="240" w:lineRule="auto"/>
              <w:ind w:left="-57" w:right="-57"/>
              <w:jc w:val="center"/>
              <w:rPr>
                <w:rFonts w:ascii="Century Gothic" w:hAnsi="Century Gothic"/>
                <w:b/>
                <w:bCs/>
                <w:sz w:val="16"/>
                <w:szCs w:val="16"/>
              </w:rPr>
            </w:pPr>
            <w:r w:rsidRPr="002146BF">
              <w:rPr>
                <w:rFonts w:ascii="Century Gothic" w:hAnsi="Century Gothic"/>
                <w:b/>
                <w:bCs/>
                <w:sz w:val="16"/>
                <w:szCs w:val="16"/>
              </w:rPr>
              <w:t>5.002.520,95</w:t>
            </w:r>
          </w:p>
        </w:tc>
        <w:tc>
          <w:tcPr>
            <w:tcW w:w="521" w:type="pct"/>
            <w:shd w:val="clear" w:color="000000" w:fill="538DD5"/>
            <w:vAlign w:val="center"/>
          </w:tcPr>
          <w:p w:rsidR="008018B8" w:rsidRPr="002146BF" w:rsidRDefault="008018B8" w:rsidP="00227282">
            <w:pPr>
              <w:spacing w:after="0" w:line="240" w:lineRule="auto"/>
              <w:ind w:left="-57" w:right="-57"/>
              <w:jc w:val="center"/>
              <w:rPr>
                <w:rFonts w:ascii="Century Gothic" w:hAnsi="Century Gothic"/>
                <w:b/>
                <w:bCs/>
                <w:sz w:val="16"/>
                <w:szCs w:val="16"/>
              </w:rPr>
            </w:pPr>
            <w:r w:rsidRPr="002146BF">
              <w:rPr>
                <w:rFonts w:ascii="Century Gothic" w:hAnsi="Century Gothic"/>
                <w:b/>
                <w:bCs/>
                <w:sz w:val="16"/>
                <w:szCs w:val="16"/>
              </w:rPr>
              <w:t>100,00</w:t>
            </w:r>
          </w:p>
        </w:tc>
      </w:tr>
    </w:tbl>
    <w:p w:rsidR="008018B8" w:rsidRPr="002146BF" w:rsidRDefault="008018B8" w:rsidP="008018B8">
      <w:pPr>
        <w:spacing w:after="0" w:line="240" w:lineRule="auto"/>
        <w:ind w:right="27"/>
        <w:rPr>
          <w:rFonts w:ascii="Century Gothic" w:hAnsi="Century Gothic" w:cs="Calibri"/>
          <w:i/>
          <w:sz w:val="16"/>
          <w:szCs w:val="16"/>
        </w:rPr>
      </w:pPr>
      <w:r w:rsidRPr="002146BF">
        <w:rPr>
          <w:rFonts w:ascii="Century Gothic" w:hAnsi="Century Gothic" w:cs="Calibri"/>
          <w:i/>
          <w:sz w:val="8"/>
          <w:szCs w:val="16"/>
        </w:rPr>
        <w:t xml:space="preserve">    </w:t>
      </w:r>
      <w:r w:rsidRPr="002146BF">
        <w:rPr>
          <w:rFonts w:ascii="Century Gothic" w:hAnsi="Century Gothic" w:cs="Calibri"/>
          <w:i/>
          <w:sz w:val="16"/>
          <w:szCs w:val="16"/>
        </w:rPr>
        <w:t xml:space="preserve">Sumber: BPS Kota Baubau (2015), Produk Domestik Regional Bruto Kota Baubau </w:t>
      </w:r>
      <w:proofErr w:type="gramStart"/>
      <w:r w:rsidRPr="002146BF">
        <w:rPr>
          <w:rFonts w:ascii="Century Gothic" w:hAnsi="Century Gothic" w:cs="Calibri"/>
          <w:i/>
          <w:sz w:val="16"/>
          <w:szCs w:val="16"/>
        </w:rPr>
        <w:t>Tahun  2010</w:t>
      </w:r>
      <w:proofErr w:type="gramEnd"/>
      <w:r w:rsidRPr="002146BF">
        <w:rPr>
          <w:rFonts w:ascii="Century Gothic" w:hAnsi="Century Gothic" w:cs="Calibri"/>
          <w:i/>
          <w:sz w:val="16"/>
          <w:szCs w:val="16"/>
        </w:rPr>
        <w:t>-2014 (diolah). Keterangan 2015** adalah angka proyeksi</w:t>
      </w:r>
    </w:p>
    <w:p w:rsidR="008018B8" w:rsidRPr="002146BF" w:rsidRDefault="008018B8" w:rsidP="006D4C3F">
      <w:pPr>
        <w:spacing w:before="360" w:after="120" w:line="360" w:lineRule="auto"/>
        <w:contextualSpacing/>
        <w:jc w:val="both"/>
        <w:rPr>
          <w:rFonts w:ascii="Century Gothic" w:hAnsi="Century Gothic"/>
          <w:sz w:val="20"/>
          <w:szCs w:val="20"/>
        </w:rPr>
      </w:pPr>
    </w:p>
    <w:p w:rsidR="00AD5C8A" w:rsidRPr="002146BF" w:rsidRDefault="00AD5C8A" w:rsidP="008018B8">
      <w:pPr>
        <w:spacing w:after="0" w:line="360" w:lineRule="auto"/>
        <w:jc w:val="both"/>
        <w:rPr>
          <w:rFonts w:ascii="Century Gothic" w:hAnsi="Century Gothic"/>
          <w:sz w:val="20"/>
          <w:szCs w:val="20"/>
        </w:rPr>
      </w:pPr>
      <w:proofErr w:type="gramStart"/>
      <w:r w:rsidRPr="002146BF">
        <w:rPr>
          <w:rFonts w:ascii="Century Gothic" w:hAnsi="Century Gothic"/>
          <w:sz w:val="20"/>
          <w:szCs w:val="20"/>
        </w:rPr>
        <w:t>Dalam beberapa tahun terakhir, pembangunan di Kota Baubau meningkat pesat.</w:t>
      </w:r>
      <w:proofErr w:type="gramEnd"/>
      <w:r w:rsidRPr="002146BF">
        <w:rPr>
          <w:rFonts w:ascii="Century Gothic" w:hAnsi="Century Gothic"/>
          <w:sz w:val="20"/>
          <w:szCs w:val="20"/>
        </w:rPr>
        <w:t xml:space="preserve"> Hal ini setidaknya dapat dilihat dari aktivitas pembangunan yang dilakukan oleh pemerintah dalam penyediaan berbagai infrastruktur dasar perkotaan, seperti pasar, pelabuhan, pembukaan dan pengaspalan jalan guna menunjang Kota Baubau sebagai pusat perdagangan dan jasa bagi daerah belakangnya (</w:t>
      </w:r>
      <w:r w:rsidRPr="002146BF">
        <w:rPr>
          <w:rFonts w:ascii="Century Gothic" w:hAnsi="Century Gothic"/>
          <w:i/>
          <w:sz w:val="20"/>
          <w:szCs w:val="20"/>
        </w:rPr>
        <w:t>hinterland</w:t>
      </w:r>
      <w:r w:rsidRPr="002146BF">
        <w:rPr>
          <w:rFonts w:ascii="Century Gothic" w:hAnsi="Century Gothic"/>
          <w:sz w:val="20"/>
          <w:szCs w:val="20"/>
        </w:rPr>
        <w:t xml:space="preserve">). </w:t>
      </w:r>
      <w:proofErr w:type="gramStart"/>
      <w:r w:rsidRPr="002146BF">
        <w:rPr>
          <w:rFonts w:ascii="Century Gothic" w:hAnsi="Century Gothic"/>
          <w:sz w:val="20"/>
          <w:szCs w:val="20"/>
        </w:rPr>
        <w:t>Bersamaan dengan itu pula, peran serta sektor swasta ataupun masyarakat dalam pembangunan daerah terus meningkat, khususnya dalam pembangunan rumah toko (Ruko) pada wilayah-wilayah strategis yang ada di Kota Baubau.</w:t>
      </w:r>
      <w:proofErr w:type="gramEnd"/>
      <w:r w:rsidRPr="002146BF">
        <w:rPr>
          <w:rFonts w:ascii="Century Gothic" w:hAnsi="Century Gothic"/>
          <w:sz w:val="20"/>
          <w:szCs w:val="20"/>
          <w:lang w:val="id-ID"/>
        </w:rPr>
        <w:t xml:space="preserve"> </w:t>
      </w:r>
      <w:r w:rsidR="00E14C8F">
        <w:rPr>
          <w:rFonts w:ascii="Century Gothic" w:hAnsi="Century Gothic" w:cs="Tahoma"/>
          <w:sz w:val="20"/>
          <w:szCs w:val="20"/>
        </w:rPr>
        <w:t>Pada</w:t>
      </w:r>
      <w:r w:rsidR="006D4C3F" w:rsidRPr="002146BF">
        <w:rPr>
          <w:rFonts w:ascii="Century Gothic" w:hAnsi="Century Gothic" w:cs="Tahoma"/>
          <w:sz w:val="20"/>
          <w:szCs w:val="20"/>
        </w:rPr>
        <w:t xml:space="preserve"> t</w:t>
      </w:r>
      <w:r w:rsidR="006D4C3F" w:rsidRPr="002146BF">
        <w:rPr>
          <w:rFonts w:ascii="Century Gothic" w:hAnsi="Century Gothic" w:cs="Tahoma"/>
          <w:spacing w:val="-2"/>
          <w:sz w:val="20"/>
          <w:szCs w:val="20"/>
        </w:rPr>
        <w:t>a</w:t>
      </w:r>
      <w:r w:rsidR="006D4C3F" w:rsidRPr="002146BF">
        <w:rPr>
          <w:rFonts w:ascii="Century Gothic" w:hAnsi="Century Gothic" w:cs="Tahoma"/>
          <w:sz w:val="20"/>
          <w:szCs w:val="20"/>
        </w:rPr>
        <w:t>h</w:t>
      </w:r>
      <w:r w:rsidR="006D4C3F" w:rsidRPr="002146BF">
        <w:rPr>
          <w:rFonts w:ascii="Century Gothic" w:hAnsi="Century Gothic" w:cs="Tahoma"/>
          <w:spacing w:val="-1"/>
          <w:sz w:val="20"/>
          <w:szCs w:val="20"/>
        </w:rPr>
        <w:t>u</w:t>
      </w:r>
      <w:r w:rsidR="006D4C3F" w:rsidRPr="002146BF">
        <w:rPr>
          <w:rFonts w:ascii="Century Gothic" w:hAnsi="Century Gothic" w:cs="Tahoma"/>
          <w:sz w:val="20"/>
          <w:szCs w:val="20"/>
        </w:rPr>
        <w:t xml:space="preserve">n 2014, </w:t>
      </w:r>
      <w:r w:rsidR="006D4C3F" w:rsidRPr="002146BF">
        <w:rPr>
          <w:rFonts w:ascii="Century Gothic" w:hAnsi="Century Gothic" w:cs="Tahoma"/>
          <w:spacing w:val="-3"/>
          <w:sz w:val="20"/>
          <w:szCs w:val="20"/>
        </w:rPr>
        <w:lastRenderedPageBreak/>
        <w:t>s</w:t>
      </w:r>
      <w:r w:rsidR="006D4C3F" w:rsidRPr="002146BF">
        <w:rPr>
          <w:rFonts w:ascii="Century Gothic" w:hAnsi="Century Gothic" w:cs="Tahoma"/>
          <w:sz w:val="20"/>
          <w:szCs w:val="20"/>
        </w:rPr>
        <w:t>tr</w:t>
      </w:r>
      <w:r w:rsidR="006D4C3F" w:rsidRPr="002146BF">
        <w:rPr>
          <w:rFonts w:ascii="Century Gothic" w:hAnsi="Century Gothic" w:cs="Tahoma"/>
          <w:spacing w:val="-3"/>
          <w:sz w:val="20"/>
          <w:szCs w:val="20"/>
        </w:rPr>
        <w:t>u</w:t>
      </w:r>
      <w:r w:rsidR="006D4C3F" w:rsidRPr="002146BF">
        <w:rPr>
          <w:rFonts w:ascii="Century Gothic" w:hAnsi="Century Gothic" w:cs="Tahoma"/>
          <w:spacing w:val="-1"/>
          <w:sz w:val="20"/>
          <w:szCs w:val="20"/>
        </w:rPr>
        <w:t>k</w:t>
      </w:r>
      <w:r w:rsidR="006D4C3F" w:rsidRPr="002146BF">
        <w:rPr>
          <w:rFonts w:ascii="Century Gothic" w:hAnsi="Century Gothic" w:cs="Tahoma"/>
          <w:sz w:val="20"/>
          <w:szCs w:val="20"/>
        </w:rPr>
        <w:t>t</w:t>
      </w:r>
      <w:r w:rsidR="006D4C3F" w:rsidRPr="002146BF">
        <w:rPr>
          <w:rFonts w:ascii="Century Gothic" w:hAnsi="Century Gothic" w:cs="Tahoma"/>
          <w:spacing w:val="-1"/>
          <w:sz w:val="20"/>
          <w:szCs w:val="20"/>
        </w:rPr>
        <w:t>u</w:t>
      </w:r>
      <w:r w:rsidR="006D4C3F" w:rsidRPr="002146BF">
        <w:rPr>
          <w:rFonts w:ascii="Century Gothic" w:hAnsi="Century Gothic" w:cs="Tahoma"/>
          <w:sz w:val="20"/>
          <w:szCs w:val="20"/>
        </w:rPr>
        <w:t>r p</w:t>
      </w:r>
      <w:r w:rsidR="006D4C3F" w:rsidRPr="002146BF">
        <w:rPr>
          <w:rFonts w:ascii="Century Gothic" w:hAnsi="Century Gothic" w:cs="Tahoma"/>
          <w:spacing w:val="1"/>
          <w:sz w:val="20"/>
          <w:szCs w:val="20"/>
        </w:rPr>
        <w:t>e</w:t>
      </w:r>
      <w:r w:rsidR="006D4C3F" w:rsidRPr="002146BF">
        <w:rPr>
          <w:rFonts w:ascii="Century Gothic" w:hAnsi="Century Gothic" w:cs="Tahoma"/>
          <w:spacing w:val="-2"/>
          <w:sz w:val="20"/>
          <w:szCs w:val="20"/>
        </w:rPr>
        <w:t>r</w:t>
      </w:r>
      <w:r w:rsidR="006D4C3F" w:rsidRPr="002146BF">
        <w:rPr>
          <w:rFonts w:ascii="Century Gothic" w:hAnsi="Century Gothic" w:cs="Tahoma"/>
          <w:spacing w:val="1"/>
          <w:sz w:val="20"/>
          <w:szCs w:val="20"/>
        </w:rPr>
        <w:t>e</w:t>
      </w:r>
      <w:r w:rsidR="006D4C3F" w:rsidRPr="002146BF">
        <w:rPr>
          <w:rFonts w:ascii="Century Gothic" w:hAnsi="Century Gothic" w:cs="Tahoma"/>
          <w:spacing w:val="-1"/>
          <w:sz w:val="20"/>
          <w:szCs w:val="20"/>
        </w:rPr>
        <w:t>ko</w:t>
      </w:r>
      <w:r w:rsidR="006D4C3F" w:rsidRPr="002146BF">
        <w:rPr>
          <w:rFonts w:ascii="Century Gothic" w:hAnsi="Century Gothic" w:cs="Tahoma"/>
          <w:spacing w:val="1"/>
          <w:sz w:val="20"/>
          <w:szCs w:val="20"/>
        </w:rPr>
        <w:t>n</w:t>
      </w:r>
      <w:r w:rsidR="006D4C3F" w:rsidRPr="002146BF">
        <w:rPr>
          <w:rFonts w:ascii="Century Gothic" w:hAnsi="Century Gothic" w:cs="Tahoma"/>
          <w:spacing w:val="-1"/>
          <w:sz w:val="20"/>
          <w:szCs w:val="20"/>
        </w:rPr>
        <w:t>omi</w:t>
      </w:r>
      <w:r w:rsidR="006D4C3F" w:rsidRPr="002146BF">
        <w:rPr>
          <w:rFonts w:ascii="Century Gothic" w:hAnsi="Century Gothic" w:cs="Tahoma"/>
          <w:sz w:val="20"/>
          <w:szCs w:val="20"/>
        </w:rPr>
        <w:t>an K</w:t>
      </w:r>
      <w:r w:rsidR="006D4C3F" w:rsidRPr="002146BF">
        <w:rPr>
          <w:rFonts w:ascii="Century Gothic" w:hAnsi="Century Gothic" w:cs="Tahoma"/>
          <w:spacing w:val="-1"/>
          <w:sz w:val="20"/>
          <w:szCs w:val="20"/>
        </w:rPr>
        <w:t>o</w:t>
      </w:r>
      <w:r w:rsidR="006D4C3F" w:rsidRPr="002146BF">
        <w:rPr>
          <w:rFonts w:ascii="Century Gothic" w:hAnsi="Century Gothic" w:cs="Tahoma"/>
          <w:sz w:val="20"/>
          <w:szCs w:val="20"/>
        </w:rPr>
        <w:t xml:space="preserve">ta </w:t>
      </w:r>
      <w:r w:rsidR="006D4C3F" w:rsidRPr="002146BF">
        <w:rPr>
          <w:rFonts w:ascii="Century Gothic" w:hAnsi="Century Gothic" w:cs="Tahoma"/>
          <w:spacing w:val="-1"/>
          <w:sz w:val="20"/>
          <w:szCs w:val="20"/>
        </w:rPr>
        <w:t>B</w:t>
      </w:r>
      <w:r w:rsidR="006D4C3F" w:rsidRPr="002146BF">
        <w:rPr>
          <w:rFonts w:ascii="Century Gothic" w:hAnsi="Century Gothic" w:cs="Tahoma"/>
          <w:sz w:val="20"/>
          <w:szCs w:val="20"/>
        </w:rPr>
        <w:t>a</w:t>
      </w:r>
      <w:r w:rsidR="006D4C3F" w:rsidRPr="002146BF">
        <w:rPr>
          <w:rFonts w:ascii="Century Gothic" w:hAnsi="Century Gothic" w:cs="Tahoma"/>
          <w:spacing w:val="-1"/>
          <w:sz w:val="20"/>
          <w:szCs w:val="20"/>
        </w:rPr>
        <w:t>ub</w:t>
      </w:r>
      <w:r w:rsidR="006D4C3F" w:rsidRPr="002146BF">
        <w:rPr>
          <w:rFonts w:ascii="Century Gothic" w:hAnsi="Century Gothic" w:cs="Tahoma"/>
          <w:sz w:val="20"/>
          <w:szCs w:val="20"/>
        </w:rPr>
        <w:t>au d</w:t>
      </w:r>
      <w:r w:rsidR="006D4C3F" w:rsidRPr="002146BF">
        <w:rPr>
          <w:rFonts w:ascii="Century Gothic" w:hAnsi="Century Gothic" w:cs="Tahoma"/>
          <w:spacing w:val="-1"/>
          <w:sz w:val="20"/>
          <w:szCs w:val="20"/>
        </w:rPr>
        <w:t>i</w:t>
      </w:r>
      <w:r w:rsidR="006D4C3F" w:rsidRPr="002146BF">
        <w:rPr>
          <w:rFonts w:ascii="Century Gothic" w:hAnsi="Century Gothic" w:cs="Tahoma"/>
          <w:sz w:val="20"/>
          <w:szCs w:val="20"/>
        </w:rPr>
        <w:t>d</w:t>
      </w:r>
      <w:r w:rsidR="006D4C3F" w:rsidRPr="002146BF">
        <w:rPr>
          <w:rFonts w:ascii="Century Gothic" w:hAnsi="Century Gothic" w:cs="Tahoma"/>
          <w:spacing w:val="-1"/>
          <w:sz w:val="20"/>
          <w:szCs w:val="20"/>
        </w:rPr>
        <w:t>omi</w:t>
      </w:r>
      <w:r w:rsidR="006D4C3F" w:rsidRPr="002146BF">
        <w:rPr>
          <w:rFonts w:ascii="Century Gothic" w:hAnsi="Century Gothic" w:cs="Tahoma"/>
          <w:spacing w:val="1"/>
          <w:sz w:val="20"/>
          <w:szCs w:val="20"/>
        </w:rPr>
        <w:t>n</w:t>
      </w:r>
      <w:r w:rsidR="006D4C3F" w:rsidRPr="002146BF">
        <w:rPr>
          <w:rFonts w:ascii="Century Gothic" w:hAnsi="Century Gothic" w:cs="Tahoma"/>
          <w:sz w:val="20"/>
          <w:szCs w:val="20"/>
        </w:rPr>
        <w:t>asi oleh 3 sektor utama</w:t>
      </w:r>
      <w:r w:rsidR="008018B8">
        <w:rPr>
          <w:rFonts w:ascii="Century Gothic" w:hAnsi="Century Gothic" w:cs="Tahoma"/>
          <w:sz w:val="20"/>
          <w:szCs w:val="20"/>
        </w:rPr>
        <w:t xml:space="preserve">  </w:t>
      </w:r>
      <w:r w:rsidR="008018B8" w:rsidRPr="002146BF">
        <w:rPr>
          <w:rFonts w:ascii="Century Gothic" w:hAnsi="Century Gothic"/>
          <w:sz w:val="20"/>
          <w:szCs w:val="20"/>
        </w:rPr>
        <w:t>(</w:t>
      </w:r>
      <w:r w:rsidR="008018B8" w:rsidRPr="00D4189E">
        <w:rPr>
          <w:rFonts w:ascii="Century Gothic" w:hAnsi="Century Gothic"/>
          <w:i/>
          <w:sz w:val="20"/>
          <w:szCs w:val="20"/>
        </w:rPr>
        <w:t>the main source of growth)</w:t>
      </w:r>
      <w:r w:rsidR="006D4C3F" w:rsidRPr="002146BF">
        <w:rPr>
          <w:rFonts w:ascii="Century Gothic" w:hAnsi="Century Gothic" w:cs="Tahoma"/>
          <w:sz w:val="20"/>
          <w:szCs w:val="20"/>
        </w:rPr>
        <w:t xml:space="preserve">, yakni </w:t>
      </w:r>
      <w:r w:rsidR="00124BC3">
        <w:rPr>
          <w:rFonts w:ascii="Century Gothic" w:hAnsi="Century Gothic" w:cs="Tahoma"/>
          <w:sz w:val="20"/>
          <w:szCs w:val="20"/>
        </w:rPr>
        <w:t xml:space="preserve">(1) </w:t>
      </w:r>
      <w:r w:rsidR="00AF0BE0">
        <w:rPr>
          <w:rFonts w:ascii="Century Gothic" w:hAnsi="Century Gothic" w:cs="Tahoma"/>
          <w:sz w:val="20"/>
          <w:szCs w:val="20"/>
        </w:rPr>
        <w:t>S</w:t>
      </w:r>
      <w:r w:rsidR="006D4C3F" w:rsidRPr="002146BF">
        <w:rPr>
          <w:rFonts w:ascii="Century Gothic" w:hAnsi="Century Gothic" w:cs="Tahoma"/>
          <w:spacing w:val="1"/>
          <w:sz w:val="20"/>
          <w:szCs w:val="20"/>
        </w:rPr>
        <w:t>e</w:t>
      </w:r>
      <w:r w:rsidR="006D4C3F" w:rsidRPr="002146BF">
        <w:rPr>
          <w:rFonts w:ascii="Century Gothic" w:hAnsi="Century Gothic" w:cs="Tahoma"/>
          <w:spacing w:val="-1"/>
          <w:sz w:val="20"/>
          <w:szCs w:val="20"/>
        </w:rPr>
        <w:t>k</w:t>
      </w:r>
      <w:r w:rsidR="006D4C3F" w:rsidRPr="002146BF">
        <w:rPr>
          <w:rFonts w:ascii="Century Gothic" w:hAnsi="Century Gothic" w:cs="Tahoma"/>
          <w:sz w:val="20"/>
          <w:szCs w:val="20"/>
        </w:rPr>
        <w:t>t</w:t>
      </w:r>
      <w:r w:rsidR="006D4C3F" w:rsidRPr="002146BF">
        <w:rPr>
          <w:rFonts w:ascii="Century Gothic" w:hAnsi="Century Gothic" w:cs="Tahoma"/>
          <w:spacing w:val="-1"/>
          <w:sz w:val="20"/>
          <w:szCs w:val="20"/>
        </w:rPr>
        <w:t>o</w:t>
      </w:r>
      <w:r w:rsidR="006D4C3F" w:rsidRPr="002146BF">
        <w:rPr>
          <w:rFonts w:ascii="Century Gothic" w:hAnsi="Century Gothic" w:cs="Tahoma"/>
          <w:sz w:val="20"/>
          <w:szCs w:val="20"/>
        </w:rPr>
        <w:t xml:space="preserve">r </w:t>
      </w:r>
      <w:r w:rsidR="006D4C3F" w:rsidRPr="002146BF">
        <w:rPr>
          <w:rFonts w:ascii="Century Gothic" w:hAnsi="Century Gothic" w:cs="Tahoma"/>
          <w:spacing w:val="-1"/>
          <w:sz w:val="20"/>
          <w:szCs w:val="20"/>
        </w:rPr>
        <w:t>ko</w:t>
      </w:r>
      <w:r w:rsidR="006D4C3F" w:rsidRPr="002146BF">
        <w:rPr>
          <w:rFonts w:ascii="Century Gothic" w:hAnsi="Century Gothic" w:cs="Tahoma"/>
          <w:spacing w:val="1"/>
          <w:sz w:val="20"/>
          <w:szCs w:val="20"/>
        </w:rPr>
        <w:t>n</w:t>
      </w:r>
      <w:r w:rsidR="006D4C3F" w:rsidRPr="002146BF">
        <w:rPr>
          <w:rFonts w:ascii="Century Gothic" w:hAnsi="Century Gothic" w:cs="Tahoma"/>
          <w:sz w:val="20"/>
          <w:szCs w:val="20"/>
        </w:rPr>
        <w:t>str</w:t>
      </w:r>
      <w:r w:rsidR="006D4C3F" w:rsidRPr="002146BF">
        <w:rPr>
          <w:rFonts w:ascii="Century Gothic" w:hAnsi="Century Gothic" w:cs="Tahoma"/>
          <w:spacing w:val="-1"/>
          <w:sz w:val="20"/>
          <w:szCs w:val="20"/>
        </w:rPr>
        <w:t>uk</w:t>
      </w:r>
      <w:r w:rsidR="006D4C3F" w:rsidRPr="002146BF">
        <w:rPr>
          <w:rFonts w:ascii="Century Gothic" w:hAnsi="Century Gothic" w:cs="Tahoma"/>
          <w:sz w:val="20"/>
          <w:szCs w:val="20"/>
        </w:rPr>
        <w:t>s</w:t>
      </w:r>
      <w:r w:rsidR="006D4C3F" w:rsidRPr="002146BF">
        <w:rPr>
          <w:rFonts w:ascii="Century Gothic" w:hAnsi="Century Gothic" w:cs="Tahoma"/>
          <w:spacing w:val="-1"/>
          <w:sz w:val="20"/>
          <w:szCs w:val="20"/>
        </w:rPr>
        <w:t>i</w:t>
      </w:r>
      <w:r w:rsidR="006D4C3F" w:rsidRPr="002146BF">
        <w:rPr>
          <w:rFonts w:ascii="Century Gothic" w:hAnsi="Century Gothic" w:cs="Tahoma"/>
          <w:sz w:val="20"/>
          <w:szCs w:val="20"/>
        </w:rPr>
        <w:t>/</w:t>
      </w:r>
      <w:r w:rsidR="006D4C3F" w:rsidRPr="002146BF">
        <w:rPr>
          <w:rFonts w:ascii="Century Gothic" w:hAnsi="Century Gothic" w:cs="Tahoma"/>
          <w:spacing w:val="-1"/>
          <w:sz w:val="20"/>
          <w:szCs w:val="20"/>
        </w:rPr>
        <w:t>b</w:t>
      </w:r>
      <w:r w:rsidR="006D4C3F" w:rsidRPr="002146BF">
        <w:rPr>
          <w:rFonts w:ascii="Century Gothic" w:hAnsi="Century Gothic" w:cs="Tahoma"/>
          <w:sz w:val="20"/>
          <w:szCs w:val="20"/>
        </w:rPr>
        <w:t>a</w:t>
      </w:r>
      <w:r w:rsidR="006D4C3F" w:rsidRPr="002146BF">
        <w:rPr>
          <w:rFonts w:ascii="Century Gothic" w:hAnsi="Century Gothic" w:cs="Tahoma"/>
          <w:spacing w:val="-2"/>
          <w:sz w:val="20"/>
          <w:szCs w:val="20"/>
        </w:rPr>
        <w:t>n</w:t>
      </w:r>
      <w:r w:rsidR="006D4C3F" w:rsidRPr="002146BF">
        <w:rPr>
          <w:rFonts w:ascii="Century Gothic" w:hAnsi="Century Gothic" w:cs="Tahoma"/>
          <w:spacing w:val="1"/>
          <w:sz w:val="20"/>
          <w:szCs w:val="20"/>
        </w:rPr>
        <w:t>g</w:t>
      </w:r>
      <w:r w:rsidR="006D4C3F" w:rsidRPr="002146BF">
        <w:rPr>
          <w:rFonts w:ascii="Century Gothic" w:hAnsi="Century Gothic" w:cs="Tahoma"/>
          <w:spacing w:val="-1"/>
          <w:sz w:val="20"/>
          <w:szCs w:val="20"/>
        </w:rPr>
        <w:t>u</w:t>
      </w:r>
      <w:r w:rsidR="006D4C3F" w:rsidRPr="002146BF">
        <w:rPr>
          <w:rFonts w:ascii="Century Gothic" w:hAnsi="Century Gothic" w:cs="Tahoma"/>
          <w:spacing w:val="1"/>
          <w:sz w:val="20"/>
          <w:szCs w:val="20"/>
        </w:rPr>
        <w:t>n</w:t>
      </w:r>
      <w:r w:rsidR="006D4C3F" w:rsidRPr="002146BF">
        <w:rPr>
          <w:rFonts w:ascii="Century Gothic" w:hAnsi="Century Gothic" w:cs="Tahoma"/>
          <w:spacing w:val="-2"/>
          <w:sz w:val="20"/>
          <w:szCs w:val="20"/>
        </w:rPr>
        <w:t>a</w:t>
      </w:r>
      <w:r w:rsidR="006D4C3F" w:rsidRPr="002146BF">
        <w:rPr>
          <w:rFonts w:ascii="Century Gothic" w:hAnsi="Century Gothic" w:cs="Tahoma"/>
          <w:spacing w:val="1"/>
          <w:sz w:val="20"/>
          <w:szCs w:val="20"/>
        </w:rPr>
        <w:t>n dengan kontribusi</w:t>
      </w:r>
      <w:r w:rsidR="006D4C3F" w:rsidRPr="002146BF">
        <w:rPr>
          <w:rFonts w:ascii="Century Gothic" w:hAnsi="Century Gothic" w:cs="Tahoma"/>
          <w:spacing w:val="-1"/>
          <w:sz w:val="20"/>
          <w:szCs w:val="20"/>
        </w:rPr>
        <w:t xml:space="preserve"> sebesar 19,78 persen, </w:t>
      </w:r>
      <w:r w:rsidR="00124BC3">
        <w:rPr>
          <w:rFonts w:ascii="Century Gothic" w:hAnsi="Century Gothic" w:cs="Tahoma"/>
          <w:spacing w:val="-1"/>
          <w:sz w:val="20"/>
          <w:szCs w:val="20"/>
        </w:rPr>
        <w:t>(2) S</w:t>
      </w:r>
      <w:r w:rsidR="006D4C3F" w:rsidRPr="002146BF">
        <w:rPr>
          <w:rFonts w:ascii="Century Gothic" w:hAnsi="Century Gothic" w:cs="Tahoma"/>
          <w:spacing w:val="-1"/>
          <w:sz w:val="20"/>
          <w:szCs w:val="20"/>
        </w:rPr>
        <w:t xml:space="preserve">ektor Perdagangan Besar dan Eceran, Reparasi Mobil dan Motor berkontribusi 17,98%; serta </w:t>
      </w:r>
      <w:r w:rsidR="00124BC3">
        <w:rPr>
          <w:rFonts w:ascii="Century Gothic" w:hAnsi="Century Gothic" w:cs="Tahoma"/>
          <w:spacing w:val="-1"/>
          <w:sz w:val="20"/>
          <w:szCs w:val="20"/>
        </w:rPr>
        <w:t xml:space="preserve">diikuti oleh (3) </w:t>
      </w:r>
      <w:r w:rsidR="00124BC3">
        <w:rPr>
          <w:rFonts w:ascii="Century Gothic" w:hAnsi="Century Gothic"/>
          <w:sz w:val="20"/>
          <w:szCs w:val="20"/>
        </w:rPr>
        <w:t>S</w:t>
      </w:r>
      <w:r w:rsidR="006D4C3F" w:rsidRPr="00124BC3">
        <w:rPr>
          <w:rFonts w:ascii="Century Gothic" w:hAnsi="Century Gothic"/>
          <w:sz w:val="20"/>
          <w:szCs w:val="20"/>
        </w:rPr>
        <w:t>ektor pertanian</w:t>
      </w:r>
      <w:r w:rsidR="00124BC3">
        <w:rPr>
          <w:rFonts w:ascii="Century Gothic" w:hAnsi="Century Gothic"/>
          <w:sz w:val="20"/>
          <w:szCs w:val="20"/>
        </w:rPr>
        <w:t>, kehutanan dan Perikanan</w:t>
      </w:r>
      <w:r w:rsidR="006D4C3F" w:rsidRPr="00124BC3">
        <w:rPr>
          <w:rFonts w:ascii="Century Gothic" w:hAnsi="Century Gothic"/>
          <w:sz w:val="20"/>
          <w:szCs w:val="20"/>
        </w:rPr>
        <w:t xml:space="preserve"> </w:t>
      </w:r>
      <w:r w:rsidR="00124BC3">
        <w:rPr>
          <w:rFonts w:ascii="Century Gothic" w:hAnsi="Century Gothic"/>
          <w:sz w:val="20"/>
          <w:szCs w:val="20"/>
        </w:rPr>
        <w:t xml:space="preserve">dengan kontribusi </w:t>
      </w:r>
      <w:r w:rsidR="006D4C3F" w:rsidRPr="00124BC3">
        <w:rPr>
          <w:rFonts w:ascii="Century Gothic" w:hAnsi="Century Gothic"/>
          <w:sz w:val="20"/>
          <w:szCs w:val="20"/>
        </w:rPr>
        <w:t xml:space="preserve">sebesar 14,99 persen. </w:t>
      </w:r>
      <w:r w:rsidR="00124BC3" w:rsidRPr="00124BC3">
        <w:rPr>
          <w:rFonts w:ascii="Century Gothic" w:hAnsi="Century Gothic"/>
          <w:sz w:val="20"/>
          <w:szCs w:val="20"/>
        </w:rPr>
        <w:t xml:space="preserve">Ketiga </w:t>
      </w:r>
      <w:r w:rsidR="00AF0BE0">
        <w:rPr>
          <w:rFonts w:ascii="Century Gothic" w:hAnsi="Century Gothic"/>
          <w:sz w:val="20"/>
          <w:szCs w:val="20"/>
        </w:rPr>
        <w:t>sek</w:t>
      </w:r>
      <w:r w:rsidR="00124BC3" w:rsidRPr="00124BC3">
        <w:rPr>
          <w:rFonts w:ascii="Century Gothic" w:hAnsi="Century Gothic"/>
          <w:sz w:val="20"/>
          <w:szCs w:val="20"/>
        </w:rPr>
        <w:t>tor tersebut secara bersama-sama tercatat memberikan sumbangan lebih dari separuh total perekonomian di Kota Baubau, yaitu berturut-turut sebesar 53</w:t>
      </w:r>
      <w:proofErr w:type="gramStart"/>
      <w:r w:rsidR="00124BC3" w:rsidRPr="00124BC3">
        <w:rPr>
          <w:rFonts w:ascii="Century Gothic" w:hAnsi="Century Gothic"/>
          <w:sz w:val="20"/>
          <w:szCs w:val="20"/>
        </w:rPr>
        <w:t>,36</w:t>
      </w:r>
      <w:proofErr w:type="gramEnd"/>
      <w:r w:rsidR="00124BC3" w:rsidRPr="00124BC3">
        <w:rPr>
          <w:rFonts w:ascii="Century Gothic" w:hAnsi="Century Gothic"/>
          <w:sz w:val="20"/>
          <w:szCs w:val="20"/>
        </w:rPr>
        <w:t xml:space="preserve"> persen pada tahun 2013; 52,74 persen pada tahun 2014</w:t>
      </w:r>
      <w:r w:rsidR="008018B8" w:rsidRPr="008018B8">
        <w:rPr>
          <w:rFonts w:ascii="Century Gothic" w:hAnsi="Century Gothic"/>
          <w:sz w:val="20"/>
          <w:szCs w:val="20"/>
        </w:rPr>
        <w:t xml:space="preserve"> </w:t>
      </w:r>
      <w:r w:rsidR="008018B8" w:rsidRPr="00124BC3">
        <w:rPr>
          <w:rFonts w:ascii="Century Gothic" w:hAnsi="Century Gothic"/>
          <w:sz w:val="20"/>
          <w:szCs w:val="20"/>
        </w:rPr>
        <w:t>dan</w:t>
      </w:r>
      <w:r w:rsidR="008018B8">
        <w:rPr>
          <w:rFonts w:ascii="Century Gothic" w:hAnsi="Century Gothic"/>
          <w:sz w:val="20"/>
          <w:szCs w:val="20"/>
        </w:rPr>
        <w:t xml:space="preserve"> 52,69% pada tahun 2015</w:t>
      </w:r>
      <w:r w:rsidR="00124BC3" w:rsidRPr="00124BC3">
        <w:rPr>
          <w:rFonts w:ascii="Century Gothic" w:hAnsi="Century Gothic"/>
          <w:sz w:val="20"/>
          <w:szCs w:val="20"/>
        </w:rPr>
        <w:t xml:space="preserve">. </w:t>
      </w:r>
      <w:proofErr w:type="gramStart"/>
      <w:r w:rsidR="006D4C3F" w:rsidRPr="00124BC3">
        <w:rPr>
          <w:rFonts w:ascii="Century Gothic" w:hAnsi="Century Gothic"/>
          <w:sz w:val="20"/>
          <w:szCs w:val="20"/>
        </w:rPr>
        <w:t>Sedangkan 15 sektor penggerak ekonomi lainnya rata-rata hanya menyumbang dibawah 10% terhadap pergerakan ekonomi Kota Baubau.</w:t>
      </w:r>
      <w:proofErr w:type="gramEnd"/>
      <w:r w:rsidR="008018B8">
        <w:rPr>
          <w:rFonts w:ascii="Century Gothic" w:hAnsi="Century Gothic"/>
          <w:sz w:val="20"/>
          <w:szCs w:val="20"/>
        </w:rPr>
        <w:t xml:space="preserve"> </w:t>
      </w:r>
      <w:r w:rsidRPr="002146BF">
        <w:rPr>
          <w:rFonts w:ascii="Century Gothic" w:hAnsi="Century Gothic"/>
          <w:sz w:val="20"/>
          <w:szCs w:val="20"/>
        </w:rPr>
        <w:t>Memasuki tahun</w:t>
      </w:r>
      <w:r w:rsidR="008422E6">
        <w:rPr>
          <w:rFonts w:ascii="Century Gothic" w:hAnsi="Century Gothic"/>
          <w:sz w:val="20"/>
          <w:szCs w:val="20"/>
        </w:rPr>
        <w:t xml:space="preserve"> </w:t>
      </w:r>
      <w:r w:rsidRPr="002146BF">
        <w:rPr>
          <w:rFonts w:ascii="Century Gothic" w:hAnsi="Century Gothic"/>
          <w:sz w:val="20"/>
          <w:szCs w:val="20"/>
        </w:rPr>
        <w:t xml:space="preserve">2015, </w:t>
      </w:r>
      <w:r w:rsidR="008018B8">
        <w:rPr>
          <w:rFonts w:ascii="Century Gothic" w:hAnsi="Century Gothic"/>
          <w:sz w:val="20"/>
          <w:szCs w:val="20"/>
        </w:rPr>
        <w:t xml:space="preserve">Peran </w:t>
      </w:r>
      <w:r w:rsidRPr="002146BF">
        <w:rPr>
          <w:rFonts w:ascii="Century Gothic" w:hAnsi="Century Gothic"/>
          <w:sz w:val="20"/>
          <w:szCs w:val="20"/>
        </w:rPr>
        <w:t xml:space="preserve">sektor perdagangan, </w:t>
      </w:r>
      <w:r w:rsidR="008422E6" w:rsidRPr="008422E6">
        <w:rPr>
          <w:rFonts w:ascii="Century Gothic" w:hAnsi="Century Gothic"/>
          <w:sz w:val="20"/>
          <w:szCs w:val="20"/>
        </w:rPr>
        <w:t>Perdagangan Besar dan Eceran; Reparasi Mobil dan Motor</w:t>
      </w:r>
      <w:r w:rsidR="008422E6" w:rsidRPr="002146BF">
        <w:rPr>
          <w:rFonts w:ascii="Century Gothic" w:hAnsi="Century Gothic"/>
          <w:sz w:val="20"/>
          <w:szCs w:val="20"/>
        </w:rPr>
        <w:t xml:space="preserve"> </w:t>
      </w:r>
      <w:r w:rsidR="008018B8">
        <w:rPr>
          <w:rFonts w:ascii="Century Gothic" w:hAnsi="Century Gothic"/>
          <w:sz w:val="20"/>
          <w:szCs w:val="20"/>
        </w:rPr>
        <w:t xml:space="preserve">juga masih dominan </w:t>
      </w:r>
      <w:r w:rsidR="008422E6">
        <w:rPr>
          <w:rFonts w:ascii="Century Gothic" w:hAnsi="Century Gothic"/>
          <w:sz w:val="20"/>
          <w:szCs w:val="20"/>
        </w:rPr>
        <w:t>dengan kontribusi sebesar 18</w:t>
      </w:r>
      <w:proofErr w:type="gramStart"/>
      <w:r w:rsidR="008422E6">
        <w:rPr>
          <w:rFonts w:ascii="Century Gothic" w:hAnsi="Century Gothic"/>
          <w:sz w:val="20"/>
          <w:szCs w:val="20"/>
        </w:rPr>
        <w:t>,17</w:t>
      </w:r>
      <w:proofErr w:type="gramEnd"/>
      <w:r w:rsidRPr="002146BF">
        <w:rPr>
          <w:rFonts w:ascii="Century Gothic" w:hAnsi="Century Gothic"/>
          <w:sz w:val="20"/>
          <w:szCs w:val="20"/>
        </w:rPr>
        <w:t xml:space="preserve">%. Hal ini tidak terlepas dari peran Kota Baubau sebagai pusat perdagangan bagi daerah belakangnya dan sebagai </w:t>
      </w:r>
      <w:proofErr w:type="gramStart"/>
      <w:r w:rsidRPr="002146BF">
        <w:rPr>
          <w:rFonts w:ascii="Century Gothic" w:hAnsi="Century Gothic"/>
          <w:sz w:val="20"/>
          <w:szCs w:val="20"/>
        </w:rPr>
        <w:t>kota</w:t>
      </w:r>
      <w:proofErr w:type="gramEnd"/>
      <w:r w:rsidRPr="002146BF">
        <w:rPr>
          <w:rFonts w:ascii="Century Gothic" w:hAnsi="Century Gothic"/>
          <w:sz w:val="20"/>
          <w:szCs w:val="20"/>
        </w:rPr>
        <w:t xml:space="preserve"> pelabuhan sehingga arus perdagangan, baik dari dan keluar maupun daerah relatif lancar. </w:t>
      </w:r>
    </w:p>
    <w:p w:rsidR="00212BED" w:rsidRDefault="00212BED" w:rsidP="008018B8">
      <w:pPr>
        <w:autoSpaceDE w:val="0"/>
        <w:autoSpaceDN w:val="0"/>
        <w:adjustRightInd w:val="0"/>
        <w:spacing w:after="0" w:line="360" w:lineRule="auto"/>
        <w:ind w:firstLine="720"/>
        <w:jc w:val="both"/>
        <w:rPr>
          <w:rFonts w:ascii="Arial" w:hAnsi="Arial" w:cs="Arial"/>
          <w:sz w:val="20"/>
          <w:szCs w:val="20"/>
        </w:rPr>
      </w:pPr>
      <w:r w:rsidRPr="000560A8">
        <w:rPr>
          <w:rFonts w:ascii="Century Gothic" w:hAnsi="Century Gothic"/>
          <w:sz w:val="20"/>
          <w:szCs w:val="20"/>
        </w:rPr>
        <w:t xml:space="preserve">Jika ditinjau </w:t>
      </w:r>
      <w:proofErr w:type="gramStart"/>
      <w:r w:rsidRPr="000560A8">
        <w:rPr>
          <w:rFonts w:ascii="Century Gothic" w:hAnsi="Century Gothic"/>
          <w:sz w:val="20"/>
          <w:szCs w:val="20"/>
        </w:rPr>
        <w:t>dari  PDRB</w:t>
      </w:r>
      <w:proofErr w:type="gramEnd"/>
      <w:r w:rsidRPr="000560A8">
        <w:rPr>
          <w:rFonts w:ascii="Century Gothic" w:hAnsi="Century Gothic"/>
          <w:sz w:val="20"/>
          <w:szCs w:val="20"/>
        </w:rPr>
        <w:t xml:space="preserve"> menurut pengeluaran, Sebagian besar penggunaan PDRB Kota Baubau masih tercatat untuk memenuhi konsumsi rumah tangga. Sumbangan komponen ini sebesar 61,68 persen pada tahun 2013 kemudian menurun menjadi 61,33 persen pada</w:t>
      </w:r>
      <w:r w:rsidR="000560A8">
        <w:rPr>
          <w:rFonts w:ascii="Century Gothic" w:hAnsi="Century Gothic"/>
          <w:sz w:val="20"/>
          <w:szCs w:val="20"/>
        </w:rPr>
        <w:t xml:space="preserve"> </w:t>
      </w:r>
      <w:r w:rsidRPr="000560A8">
        <w:rPr>
          <w:rFonts w:ascii="Century Gothic" w:hAnsi="Century Gothic"/>
          <w:sz w:val="20"/>
          <w:szCs w:val="20"/>
        </w:rPr>
        <w:t>tahun 2014</w:t>
      </w:r>
      <w:r w:rsidR="006E2460" w:rsidRPr="000560A8">
        <w:rPr>
          <w:rFonts w:ascii="Century Gothic" w:hAnsi="Century Gothic"/>
          <w:sz w:val="20"/>
          <w:szCs w:val="20"/>
        </w:rPr>
        <w:t>, dan pada tahun 2015 diproyeksikan akan menurun lagi menjadi 60,98%</w:t>
      </w:r>
      <w:r w:rsidRPr="000560A8">
        <w:rPr>
          <w:rFonts w:ascii="Century Gothic" w:hAnsi="Century Gothic"/>
          <w:sz w:val="20"/>
          <w:szCs w:val="20"/>
        </w:rPr>
        <w:t>.</w:t>
      </w:r>
      <w:r w:rsidR="000560A8">
        <w:rPr>
          <w:rFonts w:ascii="Century Gothic" w:hAnsi="Century Gothic"/>
          <w:sz w:val="20"/>
          <w:szCs w:val="20"/>
        </w:rPr>
        <w:t xml:space="preserve"> </w:t>
      </w:r>
      <w:r w:rsidRPr="000560A8">
        <w:rPr>
          <w:rFonts w:ascii="Century Gothic" w:hAnsi="Century Gothic"/>
          <w:sz w:val="20"/>
          <w:szCs w:val="20"/>
        </w:rPr>
        <w:t>Komponen penggunaan lainnya yang cukup</w:t>
      </w:r>
      <w:r w:rsidR="000560A8" w:rsidRPr="000560A8">
        <w:rPr>
          <w:rFonts w:ascii="Century Gothic" w:hAnsi="Century Gothic"/>
          <w:sz w:val="20"/>
          <w:szCs w:val="20"/>
        </w:rPr>
        <w:t xml:space="preserve"> </w:t>
      </w:r>
      <w:r w:rsidRPr="000560A8">
        <w:rPr>
          <w:rFonts w:ascii="Century Gothic" w:hAnsi="Century Gothic"/>
          <w:sz w:val="20"/>
          <w:szCs w:val="20"/>
        </w:rPr>
        <w:t>berperan yaitu komponen Pembentukan Modal</w:t>
      </w:r>
      <w:r w:rsidR="000560A8" w:rsidRPr="000560A8">
        <w:rPr>
          <w:rFonts w:ascii="Century Gothic" w:hAnsi="Century Gothic"/>
          <w:sz w:val="20"/>
          <w:szCs w:val="20"/>
        </w:rPr>
        <w:t xml:space="preserve"> </w:t>
      </w:r>
      <w:r w:rsidRPr="000560A8">
        <w:rPr>
          <w:rFonts w:ascii="Century Gothic" w:hAnsi="Century Gothic"/>
          <w:sz w:val="20"/>
          <w:szCs w:val="20"/>
        </w:rPr>
        <w:t>Tetap Bruto (PM</w:t>
      </w:r>
      <w:r w:rsidR="000560A8" w:rsidRPr="000560A8">
        <w:rPr>
          <w:rFonts w:ascii="Century Gothic" w:hAnsi="Century Gothic"/>
          <w:sz w:val="20"/>
          <w:szCs w:val="20"/>
        </w:rPr>
        <w:t xml:space="preserve">TB), dan Ekspor impor baik dari/ dan </w:t>
      </w:r>
      <w:r w:rsidRPr="000560A8">
        <w:rPr>
          <w:rFonts w:ascii="Century Gothic" w:hAnsi="Century Gothic"/>
          <w:sz w:val="20"/>
          <w:szCs w:val="20"/>
        </w:rPr>
        <w:t>ke luar negeri maupun daerah lain. Pada tahun</w:t>
      </w:r>
      <w:r w:rsidR="000560A8" w:rsidRPr="000560A8">
        <w:rPr>
          <w:rFonts w:ascii="Century Gothic" w:hAnsi="Century Gothic"/>
          <w:sz w:val="20"/>
          <w:szCs w:val="20"/>
        </w:rPr>
        <w:t xml:space="preserve"> </w:t>
      </w:r>
      <w:r w:rsidRPr="000560A8">
        <w:rPr>
          <w:rFonts w:ascii="Century Gothic" w:hAnsi="Century Gothic"/>
          <w:sz w:val="20"/>
          <w:szCs w:val="20"/>
        </w:rPr>
        <w:t>2014, distribusi pengeluaran untuk PMTB</w:t>
      </w:r>
      <w:r w:rsidR="000560A8" w:rsidRPr="000560A8">
        <w:rPr>
          <w:rFonts w:ascii="Century Gothic" w:hAnsi="Century Gothic"/>
          <w:sz w:val="20"/>
          <w:szCs w:val="20"/>
        </w:rPr>
        <w:t xml:space="preserve"> </w:t>
      </w:r>
      <w:r w:rsidRPr="000560A8">
        <w:rPr>
          <w:rFonts w:ascii="Century Gothic" w:hAnsi="Century Gothic"/>
          <w:sz w:val="20"/>
          <w:szCs w:val="20"/>
        </w:rPr>
        <w:t>sebesar 46</w:t>
      </w:r>
      <w:proofErr w:type="gramStart"/>
      <w:r w:rsidRPr="000560A8">
        <w:rPr>
          <w:rFonts w:ascii="Century Gothic" w:hAnsi="Century Gothic"/>
          <w:sz w:val="20"/>
          <w:szCs w:val="20"/>
        </w:rPr>
        <w:t>,47</w:t>
      </w:r>
      <w:proofErr w:type="gramEnd"/>
      <w:r w:rsidRPr="000560A8">
        <w:rPr>
          <w:rFonts w:ascii="Century Gothic" w:hAnsi="Century Gothic"/>
          <w:sz w:val="20"/>
          <w:szCs w:val="20"/>
        </w:rPr>
        <w:t xml:space="preserve"> persen; ekspor sebesar 41,82</w:t>
      </w:r>
      <w:r w:rsidR="000560A8" w:rsidRPr="000560A8">
        <w:rPr>
          <w:rFonts w:ascii="Century Gothic" w:hAnsi="Century Gothic"/>
          <w:sz w:val="20"/>
          <w:szCs w:val="20"/>
        </w:rPr>
        <w:t xml:space="preserve"> </w:t>
      </w:r>
      <w:r w:rsidRPr="000560A8">
        <w:rPr>
          <w:rFonts w:ascii="Century Gothic" w:hAnsi="Century Gothic"/>
          <w:sz w:val="20"/>
          <w:szCs w:val="20"/>
        </w:rPr>
        <w:t>persen, dan impor sebesar 70,77.</w:t>
      </w:r>
      <w:r w:rsidR="000560A8">
        <w:rPr>
          <w:rFonts w:ascii="Arial" w:hAnsi="Arial" w:cs="Arial"/>
          <w:sz w:val="20"/>
          <w:szCs w:val="20"/>
        </w:rPr>
        <w:t xml:space="preserve"> </w:t>
      </w:r>
    </w:p>
    <w:p w:rsidR="000560A8" w:rsidRPr="000560A8" w:rsidRDefault="00212BED" w:rsidP="000560A8">
      <w:pPr>
        <w:tabs>
          <w:tab w:val="left" w:pos="5138"/>
          <w:tab w:val="left" w:pos="6396"/>
          <w:tab w:val="left" w:pos="7735"/>
          <w:tab w:val="left" w:pos="10066"/>
          <w:tab w:val="left" w:pos="11268"/>
          <w:tab w:val="left" w:pos="12607"/>
        </w:tabs>
        <w:spacing w:after="0" w:line="360" w:lineRule="auto"/>
        <w:jc w:val="both"/>
        <w:rPr>
          <w:rFonts w:ascii="Century Gothic" w:hAnsi="Century Gothic"/>
          <w:sz w:val="20"/>
          <w:szCs w:val="20"/>
        </w:rPr>
      </w:pPr>
      <w:proofErr w:type="gramStart"/>
      <w:r w:rsidRPr="000560A8">
        <w:rPr>
          <w:rFonts w:ascii="Century Gothic" w:hAnsi="Century Gothic"/>
          <w:sz w:val="20"/>
          <w:szCs w:val="20"/>
        </w:rPr>
        <w:t xml:space="preserve">Struktur PDRB </w:t>
      </w:r>
      <w:r w:rsidR="000560A8" w:rsidRPr="000560A8">
        <w:rPr>
          <w:rFonts w:ascii="Century Gothic" w:hAnsi="Century Gothic"/>
          <w:sz w:val="20"/>
          <w:szCs w:val="20"/>
        </w:rPr>
        <w:t xml:space="preserve">pengeluaran </w:t>
      </w:r>
      <w:r w:rsidRPr="000560A8">
        <w:rPr>
          <w:rFonts w:ascii="Century Gothic" w:hAnsi="Century Gothic"/>
          <w:sz w:val="20"/>
          <w:szCs w:val="20"/>
        </w:rPr>
        <w:t>Kota Baubau menunjukkan</w:t>
      </w:r>
      <w:r w:rsidR="000560A8" w:rsidRPr="000560A8">
        <w:rPr>
          <w:rFonts w:ascii="Century Gothic" w:hAnsi="Century Gothic"/>
          <w:sz w:val="20"/>
          <w:szCs w:val="20"/>
        </w:rPr>
        <w:t xml:space="preserve"> </w:t>
      </w:r>
      <w:r w:rsidRPr="000560A8">
        <w:rPr>
          <w:rFonts w:ascii="Century Gothic" w:hAnsi="Century Gothic"/>
          <w:sz w:val="20"/>
          <w:szCs w:val="20"/>
        </w:rPr>
        <w:t>adanya deficit perdagangan barang dan jasa</w:t>
      </w:r>
      <w:r w:rsidR="000560A8">
        <w:rPr>
          <w:rFonts w:ascii="Century Gothic" w:hAnsi="Century Gothic"/>
          <w:sz w:val="20"/>
          <w:szCs w:val="20"/>
        </w:rPr>
        <w:t xml:space="preserve"> </w:t>
      </w:r>
      <w:r w:rsidRPr="000560A8">
        <w:rPr>
          <w:rFonts w:ascii="Century Gothic" w:hAnsi="Century Gothic"/>
          <w:sz w:val="20"/>
          <w:szCs w:val="20"/>
        </w:rPr>
        <w:t>yang berkepanjangan.</w:t>
      </w:r>
      <w:proofErr w:type="gramEnd"/>
      <w:r w:rsidRPr="000560A8">
        <w:rPr>
          <w:rFonts w:ascii="Century Gothic" w:hAnsi="Century Gothic"/>
          <w:sz w:val="20"/>
          <w:szCs w:val="20"/>
        </w:rPr>
        <w:t xml:space="preserve"> </w:t>
      </w:r>
      <w:proofErr w:type="gramStart"/>
      <w:r w:rsidRPr="000560A8">
        <w:rPr>
          <w:rFonts w:ascii="Century Gothic" w:hAnsi="Century Gothic"/>
          <w:sz w:val="20"/>
          <w:szCs w:val="20"/>
        </w:rPr>
        <w:t>Hal itu ditunjukkan</w:t>
      </w:r>
      <w:r w:rsidR="000560A8" w:rsidRPr="000560A8">
        <w:rPr>
          <w:rFonts w:ascii="Century Gothic" w:hAnsi="Century Gothic"/>
          <w:sz w:val="20"/>
          <w:szCs w:val="20"/>
        </w:rPr>
        <w:t xml:space="preserve"> </w:t>
      </w:r>
      <w:r w:rsidRPr="000560A8">
        <w:rPr>
          <w:rFonts w:ascii="Century Gothic" w:hAnsi="Century Gothic"/>
          <w:sz w:val="20"/>
          <w:szCs w:val="20"/>
        </w:rPr>
        <w:t>dengan lebih besarnya peran impor terhadap</w:t>
      </w:r>
      <w:r w:rsidR="000560A8">
        <w:rPr>
          <w:rFonts w:ascii="Century Gothic" w:hAnsi="Century Gothic"/>
          <w:sz w:val="20"/>
          <w:szCs w:val="20"/>
        </w:rPr>
        <w:t xml:space="preserve"> </w:t>
      </w:r>
      <w:r w:rsidRPr="000560A8">
        <w:rPr>
          <w:rFonts w:ascii="Century Gothic" w:hAnsi="Century Gothic"/>
          <w:sz w:val="20"/>
          <w:szCs w:val="20"/>
        </w:rPr>
        <w:t>PDRB dibanding ekspor dari tahun ke tahun.</w:t>
      </w:r>
      <w:proofErr w:type="gramEnd"/>
      <w:r w:rsidR="000560A8" w:rsidRPr="000560A8">
        <w:rPr>
          <w:rFonts w:ascii="Century Gothic" w:hAnsi="Century Gothic"/>
          <w:sz w:val="20"/>
          <w:szCs w:val="20"/>
        </w:rPr>
        <w:t xml:space="preserve"> </w:t>
      </w:r>
      <w:proofErr w:type="gramStart"/>
      <w:r w:rsidRPr="000560A8">
        <w:rPr>
          <w:rFonts w:ascii="Century Gothic" w:hAnsi="Century Gothic"/>
          <w:sz w:val="20"/>
          <w:szCs w:val="20"/>
        </w:rPr>
        <w:t>Hal ini ditandai dengan nilai ekspor neto terus</w:t>
      </w:r>
      <w:r w:rsidR="000560A8">
        <w:rPr>
          <w:rFonts w:ascii="Century Gothic" w:hAnsi="Century Gothic"/>
          <w:sz w:val="20"/>
          <w:szCs w:val="20"/>
        </w:rPr>
        <w:t xml:space="preserve"> </w:t>
      </w:r>
      <w:r w:rsidRPr="000560A8">
        <w:rPr>
          <w:rFonts w:ascii="Century Gothic" w:hAnsi="Century Gothic"/>
          <w:sz w:val="20"/>
          <w:szCs w:val="20"/>
        </w:rPr>
        <w:t>mengalami defisit tiap tahunnya.</w:t>
      </w:r>
      <w:proofErr w:type="gramEnd"/>
      <w:r w:rsidR="000560A8" w:rsidRPr="000560A8">
        <w:rPr>
          <w:rFonts w:ascii="Century Gothic" w:hAnsi="Century Gothic"/>
          <w:sz w:val="20"/>
          <w:szCs w:val="20"/>
        </w:rPr>
        <w:t xml:space="preserve"> </w:t>
      </w:r>
      <w:r w:rsidRPr="000560A8">
        <w:rPr>
          <w:rFonts w:ascii="Century Gothic" w:hAnsi="Century Gothic"/>
          <w:sz w:val="20"/>
          <w:szCs w:val="20"/>
        </w:rPr>
        <w:t>Pertumbuhan ekonomi Kota Baubau sejak</w:t>
      </w:r>
      <w:r w:rsidR="000560A8" w:rsidRPr="000560A8">
        <w:rPr>
          <w:rFonts w:ascii="Century Gothic" w:hAnsi="Century Gothic"/>
          <w:sz w:val="20"/>
          <w:szCs w:val="20"/>
        </w:rPr>
        <w:t xml:space="preserve"> </w:t>
      </w:r>
      <w:r w:rsidR="000560A8">
        <w:rPr>
          <w:rFonts w:ascii="Century Gothic" w:hAnsi="Century Gothic"/>
          <w:sz w:val="20"/>
          <w:szCs w:val="20"/>
        </w:rPr>
        <w:t>tahun 2013 hingga tahun 2015</w:t>
      </w:r>
      <w:r w:rsidRPr="000560A8">
        <w:rPr>
          <w:rFonts w:ascii="Century Gothic" w:hAnsi="Century Gothic"/>
          <w:sz w:val="20"/>
          <w:szCs w:val="20"/>
        </w:rPr>
        <w:t xml:space="preserve"> tercatat sangat</w:t>
      </w:r>
      <w:r w:rsidR="000560A8" w:rsidRPr="000560A8">
        <w:rPr>
          <w:rFonts w:ascii="Century Gothic" w:hAnsi="Century Gothic"/>
          <w:sz w:val="20"/>
          <w:szCs w:val="20"/>
        </w:rPr>
        <w:t xml:space="preserve"> </w:t>
      </w:r>
      <w:r w:rsidRPr="000560A8">
        <w:rPr>
          <w:rFonts w:ascii="Century Gothic" w:hAnsi="Century Gothic"/>
          <w:sz w:val="20"/>
          <w:szCs w:val="20"/>
        </w:rPr>
        <w:t>ditopang oleh pertumbuhan positif pengeluaran</w:t>
      </w:r>
      <w:r w:rsidR="000560A8" w:rsidRPr="000560A8">
        <w:rPr>
          <w:rFonts w:ascii="Century Gothic" w:hAnsi="Century Gothic"/>
          <w:sz w:val="20"/>
          <w:szCs w:val="20"/>
        </w:rPr>
        <w:t xml:space="preserve"> </w:t>
      </w:r>
      <w:r w:rsidRPr="000560A8">
        <w:rPr>
          <w:rFonts w:ascii="Century Gothic" w:hAnsi="Century Gothic"/>
          <w:sz w:val="20"/>
          <w:szCs w:val="20"/>
        </w:rPr>
        <w:t>konsumsi, baik konsumsi rumah tangga,</w:t>
      </w:r>
      <w:r w:rsidR="000560A8" w:rsidRPr="000560A8">
        <w:rPr>
          <w:rFonts w:ascii="Century Gothic" w:hAnsi="Century Gothic"/>
          <w:sz w:val="20"/>
          <w:szCs w:val="20"/>
        </w:rPr>
        <w:t xml:space="preserve"> </w:t>
      </w:r>
      <w:r w:rsidRPr="000560A8">
        <w:rPr>
          <w:rFonts w:ascii="Century Gothic" w:hAnsi="Century Gothic"/>
          <w:sz w:val="20"/>
          <w:szCs w:val="20"/>
        </w:rPr>
        <w:t>konsumsi pemerintah, maupun konsumsi</w:t>
      </w:r>
      <w:r w:rsidR="000560A8" w:rsidRPr="000560A8">
        <w:rPr>
          <w:rFonts w:ascii="Century Gothic" w:hAnsi="Century Gothic"/>
          <w:sz w:val="20"/>
          <w:szCs w:val="20"/>
        </w:rPr>
        <w:t xml:space="preserve"> </w:t>
      </w:r>
      <w:r w:rsidRPr="000560A8">
        <w:rPr>
          <w:rFonts w:ascii="Century Gothic" w:hAnsi="Century Gothic"/>
          <w:sz w:val="20"/>
          <w:szCs w:val="20"/>
        </w:rPr>
        <w:t>lembaga non profit yang melayani rumah tangga.</w:t>
      </w:r>
      <w:r w:rsidR="000560A8" w:rsidRPr="000560A8">
        <w:rPr>
          <w:rFonts w:ascii="Century Gothic" w:hAnsi="Century Gothic"/>
          <w:sz w:val="20"/>
          <w:szCs w:val="20"/>
        </w:rPr>
        <w:t xml:space="preserve"> </w:t>
      </w:r>
      <w:r w:rsidRPr="000560A8">
        <w:rPr>
          <w:rFonts w:ascii="Century Gothic" w:hAnsi="Century Gothic"/>
          <w:sz w:val="20"/>
          <w:szCs w:val="20"/>
        </w:rPr>
        <w:t>Pertumbuhan ketiga komponen tersebut pada</w:t>
      </w:r>
      <w:r w:rsidR="000560A8" w:rsidRPr="000560A8">
        <w:rPr>
          <w:rFonts w:ascii="Century Gothic" w:hAnsi="Century Gothic"/>
          <w:sz w:val="20"/>
          <w:szCs w:val="20"/>
        </w:rPr>
        <w:t xml:space="preserve"> </w:t>
      </w:r>
      <w:r w:rsidR="000560A8">
        <w:rPr>
          <w:rFonts w:ascii="Century Gothic" w:hAnsi="Century Gothic"/>
          <w:sz w:val="20"/>
          <w:szCs w:val="20"/>
        </w:rPr>
        <w:t>tahun 2014 tercatat berturut-turut</w:t>
      </w:r>
      <w:r w:rsidRPr="000560A8">
        <w:rPr>
          <w:rFonts w:ascii="Century Gothic" w:hAnsi="Century Gothic"/>
          <w:sz w:val="20"/>
          <w:szCs w:val="20"/>
        </w:rPr>
        <w:t xml:space="preserve"> sebesar 7</w:t>
      </w:r>
      <w:proofErr w:type="gramStart"/>
      <w:r w:rsidRPr="000560A8">
        <w:rPr>
          <w:rFonts w:ascii="Century Gothic" w:hAnsi="Century Gothic"/>
          <w:sz w:val="20"/>
          <w:szCs w:val="20"/>
        </w:rPr>
        <w:t>,85</w:t>
      </w:r>
      <w:proofErr w:type="gramEnd"/>
      <w:r w:rsidR="000560A8" w:rsidRPr="000560A8">
        <w:rPr>
          <w:rFonts w:ascii="Century Gothic" w:hAnsi="Century Gothic"/>
          <w:sz w:val="20"/>
          <w:szCs w:val="20"/>
        </w:rPr>
        <w:t xml:space="preserve"> </w:t>
      </w:r>
      <w:r w:rsidRPr="000560A8">
        <w:rPr>
          <w:rFonts w:ascii="Century Gothic" w:hAnsi="Century Gothic"/>
          <w:sz w:val="20"/>
          <w:szCs w:val="20"/>
        </w:rPr>
        <w:t>persen, 7,84 persen, dan 9,88 persen. Selain</w:t>
      </w:r>
      <w:r w:rsidR="000560A8" w:rsidRPr="000560A8">
        <w:rPr>
          <w:rFonts w:ascii="Century Gothic" w:hAnsi="Century Gothic"/>
          <w:sz w:val="20"/>
          <w:szCs w:val="20"/>
        </w:rPr>
        <w:t xml:space="preserve"> </w:t>
      </w:r>
      <w:r w:rsidRPr="000560A8">
        <w:rPr>
          <w:rFonts w:ascii="Century Gothic" w:hAnsi="Century Gothic"/>
          <w:sz w:val="20"/>
          <w:szCs w:val="20"/>
        </w:rPr>
        <w:t>ketiga komponen tersebut, pertumbuhan</w:t>
      </w:r>
      <w:r w:rsidR="000560A8" w:rsidRPr="000560A8">
        <w:rPr>
          <w:rFonts w:ascii="Century Gothic" w:hAnsi="Century Gothic"/>
          <w:sz w:val="20"/>
          <w:szCs w:val="20"/>
        </w:rPr>
        <w:t xml:space="preserve"> </w:t>
      </w:r>
      <w:r w:rsidRPr="000560A8">
        <w:rPr>
          <w:rFonts w:ascii="Century Gothic" w:hAnsi="Century Gothic"/>
          <w:sz w:val="20"/>
          <w:szCs w:val="20"/>
        </w:rPr>
        <w:t>pengeluaran untuk investasi juga menunjukkan</w:t>
      </w:r>
      <w:r w:rsidR="000560A8" w:rsidRPr="000560A8">
        <w:rPr>
          <w:rFonts w:ascii="Century Gothic" w:hAnsi="Century Gothic"/>
          <w:sz w:val="20"/>
          <w:szCs w:val="20"/>
        </w:rPr>
        <w:t xml:space="preserve"> </w:t>
      </w:r>
      <w:r w:rsidRPr="000560A8">
        <w:rPr>
          <w:rFonts w:ascii="Century Gothic" w:hAnsi="Century Gothic"/>
          <w:sz w:val="20"/>
          <w:szCs w:val="20"/>
        </w:rPr>
        <w:t>arah yang positif pada tahun 2014, yaitu 7</w:t>
      </w:r>
      <w:proofErr w:type="gramStart"/>
      <w:r w:rsidRPr="000560A8">
        <w:rPr>
          <w:rFonts w:ascii="Century Gothic" w:hAnsi="Century Gothic"/>
          <w:sz w:val="20"/>
          <w:szCs w:val="20"/>
        </w:rPr>
        <w:t>,58</w:t>
      </w:r>
      <w:proofErr w:type="gramEnd"/>
      <w:r w:rsidR="000560A8" w:rsidRPr="000560A8">
        <w:rPr>
          <w:rFonts w:ascii="Century Gothic" w:hAnsi="Century Gothic"/>
          <w:sz w:val="20"/>
          <w:szCs w:val="20"/>
        </w:rPr>
        <w:t xml:space="preserve"> </w:t>
      </w:r>
      <w:r w:rsidRPr="000560A8">
        <w:rPr>
          <w:rFonts w:ascii="Century Gothic" w:hAnsi="Century Gothic"/>
          <w:sz w:val="20"/>
          <w:szCs w:val="20"/>
        </w:rPr>
        <w:t>persen untuk PMTB dan 10,26 persen untuk</w:t>
      </w:r>
      <w:r w:rsidR="000560A8" w:rsidRPr="000560A8">
        <w:rPr>
          <w:rFonts w:ascii="Century Gothic" w:hAnsi="Century Gothic"/>
          <w:sz w:val="20"/>
          <w:szCs w:val="20"/>
        </w:rPr>
        <w:t xml:space="preserve"> </w:t>
      </w:r>
      <w:r w:rsidRPr="000560A8">
        <w:rPr>
          <w:rFonts w:ascii="Century Gothic" w:hAnsi="Century Gothic"/>
          <w:sz w:val="20"/>
          <w:szCs w:val="20"/>
        </w:rPr>
        <w:t>perubahan inventori. Sementara itu, ekpor dan</w:t>
      </w:r>
      <w:r w:rsidR="000560A8" w:rsidRPr="000560A8">
        <w:rPr>
          <w:rFonts w:ascii="Century Gothic" w:hAnsi="Century Gothic"/>
          <w:sz w:val="20"/>
          <w:szCs w:val="20"/>
        </w:rPr>
        <w:t xml:space="preserve"> </w:t>
      </w:r>
      <w:r w:rsidRPr="000560A8">
        <w:rPr>
          <w:rFonts w:ascii="Century Gothic" w:hAnsi="Century Gothic"/>
          <w:sz w:val="20"/>
          <w:szCs w:val="20"/>
        </w:rPr>
        <w:t>impor pada tahun 2014 mengalami konstraksi</w:t>
      </w:r>
      <w:r w:rsidR="000560A8" w:rsidRPr="000560A8">
        <w:rPr>
          <w:rFonts w:ascii="Century Gothic" w:hAnsi="Century Gothic"/>
          <w:sz w:val="20"/>
          <w:szCs w:val="20"/>
        </w:rPr>
        <w:t xml:space="preserve"> </w:t>
      </w:r>
      <w:r w:rsidRPr="000560A8">
        <w:rPr>
          <w:rFonts w:ascii="Century Gothic" w:hAnsi="Century Gothic"/>
          <w:sz w:val="20"/>
          <w:szCs w:val="20"/>
        </w:rPr>
        <w:t>sebesar 9</w:t>
      </w:r>
      <w:proofErr w:type="gramStart"/>
      <w:r w:rsidRPr="000560A8">
        <w:rPr>
          <w:rFonts w:ascii="Century Gothic" w:hAnsi="Century Gothic"/>
          <w:sz w:val="20"/>
          <w:szCs w:val="20"/>
        </w:rPr>
        <w:t>,67</w:t>
      </w:r>
      <w:proofErr w:type="gramEnd"/>
      <w:r w:rsidRPr="000560A8">
        <w:rPr>
          <w:rFonts w:ascii="Century Gothic" w:hAnsi="Century Gothic"/>
          <w:sz w:val="20"/>
          <w:szCs w:val="20"/>
        </w:rPr>
        <w:t xml:space="preserve"> persen untuk ekspor dan 5,53</w:t>
      </w:r>
      <w:r w:rsidR="000560A8" w:rsidRPr="000560A8">
        <w:rPr>
          <w:rFonts w:ascii="Century Gothic" w:hAnsi="Century Gothic"/>
          <w:sz w:val="20"/>
          <w:szCs w:val="20"/>
        </w:rPr>
        <w:t xml:space="preserve"> </w:t>
      </w:r>
      <w:r w:rsidR="000560A8">
        <w:rPr>
          <w:rFonts w:ascii="Century Gothic" w:hAnsi="Century Gothic"/>
          <w:sz w:val="20"/>
          <w:szCs w:val="20"/>
        </w:rPr>
        <w:t>p</w:t>
      </w:r>
      <w:r w:rsidRPr="000560A8">
        <w:rPr>
          <w:rFonts w:ascii="Century Gothic" w:hAnsi="Century Gothic"/>
          <w:sz w:val="20"/>
          <w:szCs w:val="20"/>
        </w:rPr>
        <w:t>ersen untuk impor.</w:t>
      </w:r>
      <w:r w:rsidR="000560A8">
        <w:rPr>
          <w:rFonts w:ascii="Century Gothic" w:hAnsi="Century Gothic"/>
          <w:sz w:val="20"/>
          <w:szCs w:val="20"/>
        </w:rPr>
        <w:t xml:space="preserve"> (</w:t>
      </w:r>
      <w:proofErr w:type="gramStart"/>
      <w:r w:rsidR="000560A8">
        <w:rPr>
          <w:rFonts w:ascii="Century Gothic" w:hAnsi="Century Gothic"/>
          <w:sz w:val="20"/>
          <w:szCs w:val="20"/>
        </w:rPr>
        <w:t>lihat</w:t>
      </w:r>
      <w:proofErr w:type="gramEnd"/>
      <w:r w:rsidR="000560A8">
        <w:rPr>
          <w:rFonts w:ascii="Century Gothic" w:hAnsi="Century Gothic"/>
          <w:sz w:val="20"/>
          <w:szCs w:val="20"/>
        </w:rPr>
        <w:t xml:space="preserve"> tabel 3.x </w:t>
      </w:r>
      <w:r w:rsidR="000560A8" w:rsidRPr="000560A8">
        <w:rPr>
          <w:rFonts w:ascii="Century Gothic" w:hAnsi="Century Gothic"/>
          <w:sz w:val="20"/>
          <w:szCs w:val="20"/>
        </w:rPr>
        <w:t>Perkembangan Indikator Makro Ekonomi Kota Baubau</w:t>
      </w:r>
      <w:r w:rsidR="000560A8">
        <w:rPr>
          <w:rFonts w:ascii="Century Gothic" w:hAnsi="Century Gothic"/>
          <w:sz w:val="20"/>
          <w:szCs w:val="20"/>
        </w:rPr>
        <w:t>)</w:t>
      </w:r>
    </w:p>
    <w:p w:rsidR="00AD5C8A" w:rsidRPr="000560A8" w:rsidRDefault="00AD5C8A" w:rsidP="000560A8">
      <w:pPr>
        <w:autoSpaceDE w:val="0"/>
        <w:autoSpaceDN w:val="0"/>
        <w:adjustRightInd w:val="0"/>
        <w:spacing w:after="0" w:line="360" w:lineRule="auto"/>
        <w:jc w:val="both"/>
        <w:rPr>
          <w:rFonts w:ascii="Century Gothic" w:hAnsi="Century Gothic"/>
          <w:sz w:val="20"/>
          <w:szCs w:val="20"/>
        </w:rPr>
      </w:pPr>
    </w:p>
    <w:p w:rsidR="000560A8" w:rsidRPr="002146BF" w:rsidRDefault="000560A8" w:rsidP="000560A8">
      <w:pPr>
        <w:autoSpaceDE w:val="0"/>
        <w:autoSpaceDN w:val="0"/>
        <w:adjustRightInd w:val="0"/>
        <w:spacing w:after="0" w:line="240" w:lineRule="auto"/>
        <w:rPr>
          <w:rFonts w:ascii="Century Gothic" w:hAnsi="Century Gothic" w:cs="Calibri"/>
          <w:i/>
          <w:sz w:val="18"/>
          <w:szCs w:val="16"/>
        </w:rPr>
      </w:pPr>
    </w:p>
    <w:p w:rsidR="0003772C" w:rsidRDefault="00AD5C8A" w:rsidP="00B47443">
      <w:pPr>
        <w:autoSpaceDE w:val="0"/>
        <w:autoSpaceDN w:val="0"/>
        <w:adjustRightInd w:val="0"/>
        <w:spacing w:after="0" w:line="360" w:lineRule="auto"/>
        <w:jc w:val="both"/>
        <w:rPr>
          <w:rFonts w:ascii="Century Gothic" w:hAnsi="Century Gothic"/>
          <w:sz w:val="20"/>
          <w:szCs w:val="20"/>
        </w:rPr>
      </w:pPr>
      <w:proofErr w:type="gramStart"/>
      <w:r w:rsidRPr="008018B8">
        <w:rPr>
          <w:rFonts w:ascii="Century Gothic" w:hAnsi="Century Gothic"/>
          <w:b/>
          <w:smallCaps/>
          <w:color w:val="FFFFFF" w:themeColor="background1"/>
          <w:spacing w:val="20"/>
          <w:sz w:val="24"/>
          <w:szCs w:val="24"/>
          <w:highlight w:val="black"/>
        </w:rPr>
        <w:t>Pdrb Per Kapita</w:t>
      </w:r>
      <w:r w:rsidRPr="008018B8">
        <w:rPr>
          <w:rFonts w:ascii="Century Gothic" w:hAnsi="Century Gothic"/>
          <w:color w:val="FFFFFF" w:themeColor="background1"/>
          <w:spacing w:val="20"/>
          <w:sz w:val="20"/>
          <w:szCs w:val="20"/>
          <w:highlight w:val="black"/>
        </w:rPr>
        <w:t>.</w:t>
      </w:r>
      <w:proofErr w:type="gramEnd"/>
      <w:r w:rsidRPr="000560A8">
        <w:rPr>
          <w:rFonts w:ascii="Century Gothic" w:hAnsi="Century Gothic"/>
          <w:color w:val="FFFFFF" w:themeColor="background1"/>
          <w:sz w:val="20"/>
          <w:szCs w:val="20"/>
        </w:rPr>
        <w:t xml:space="preserve"> </w:t>
      </w:r>
      <w:proofErr w:type="gramStart"/>
      <w:r w:rsidRPr="002146BF">
        <w:rPr>
          <w:rFonts w:ascii="Century Gothic" w:hAnsi="Century Gothic"/>
          <w:sz w:val="20"/>
          <w:szCs w:val="20"/>
        </w:rPr>
        <w:t>PDRB per kapita merupakan salah satu tolak ukur untuk mengetahui tingkat kesejahteraan suatu daerah ataupun daya beli masyarakat.</w:t>
      </w:r>
      <w:proofErr w:type="gramEnd"/>
      <w:r w:rsidRPr="002146BF">
        <w:rPr>
          <w:rFonts w:ascii="Century Gothic" w:hAnsi="Century Gothic"/>
          <w:sz w:val="20"/>
          <w:szCs w:val="20"/>
        </w:rPr>
        <w:t xml:space="preserve"> Berdasarkan nilai harga berlaku, PDRB per kapita </w:t>
      </w:r>
      <w:r w:rsidR="00035214">
        <w:rPr>
          <w:rFonts w:ascii="Century Gothic" w:hAnsi="Century Gothic"/>
          <w:sz w:val="20"/>
          <w:szCs w:val="20"/>
        </w:rPr>
        <w:t>nominal</w:t>
      </w:r>
      <w:r w:rsidRPr="002146BF">
        <w:rPr>
          <w:rFonts w:ascii="Century Gothic" w:hAnsi="Century Gothic"/>
          <w:sz w:val="20"/>
          <w:szCs w:val="20"/>
        </w:rPr>
        <w:t xml:space="preserve"> (PDRB ADHB) Kota Baubau pada tahun 2014 sebesar Rp. </w:t>
      </w:r>
      <w:r w:rsidR="00035214">
        <w:rPr>
          <w:rFonts w:ascii="Century Gothic" w:hAnsi="Century Gothic"/>
          <w:sz w:val="20"/>
          <w:szCs w:val="20"/>
        </w:rPr>
        <w:t>35,15</w:t>
      </w:r>
      <w:r w:rsidRPr="002146BF">
        <w:rPr>
          <w:rFonts w:ascii="Century Gothic" w:hAnsi="Century Gothic"/>
          <w:sz w:val="20"/>
          <w:szCs w:val="20"/>
        </w:rPr>
        <w:t xml:space="preserve"> juta per tahun diproyeksikan meningkat menjadi Rp. </w:t>
      </w:r>
      <w:r w:rsidR="00035214">
        <w:rPr>
          <w:rFonts w:ascii="Century Gothic" w:hAnsi="Century Gothic"/>
          <w:sz w:val="20"/>
          <w:szCs w:val="20"/>
        </w:rPr>
        <w:t>39,3</w:t>
      </w:r>
      <w:r w:rsidRPr="002146BF">
        <w:rPr>
          <w:rFonts w:ascii="Century Gothic" w:hAnsi="Century Gothic"/>
          <w:sz w:val="20"/>
          <w:szCs w:val="20"/>
        </w:rPr>
        <w:t xml:space="preserve"> juta pada tahun 2015 atau terjadi peningkatan sebesar Rp. </w:t>
      </w:r>
      <w:r w:rsidR="00E415E3">
        <w:rPr>
          <w:rFonts w:ascii="Century Gothic" w:hAnsi="Century Gothic"/>
          <w:sz w:val="20"/>
          <w:szCs w:val="20"/>
        </w:rPr>
        <w:t>4,1</w:t>
      </w:r>
      <w:r w:rsidRPr="002146BF">
        <w:rPr>
          <w:rFonts w:ascii="Century Gothic" w:hAnsi="Century Gothic"/>
          <w:sz w:val="20"/>
          <w:szCs w:val="20"/>
        </w:rPr>
        <w:t xml:space="preserve"> juta</w:t>
      </w:r>
      <w:r w:rsidR="00E415E3">
        <w:rPr>
          <w:rFonts w:ascii="Century Gothic" w:hAnsi="Century Gothic"/>
          <w:sz w:val="20"/>
          <w:szCs w:val="20"/>
        </w:rPr>
        <w:t>/jiwa</w:t>
      </w:r>
      <w:r w:rsidRPr="002146BF">
        <w:rPr>
          <w:rFonts w:ascii="Century Gothic" w:hAnsi="Century Gothic"/>
          <w:sz w:val="20"/>
          <w:szCs w:val="20"/>
        </w:rPr>
        <w:t xml:space="preserve"> atau </w:t>
      </w:r>
      <w:r w:rsidR="00E415E3">
        <w:rPr>
          <w:rFonts w:ascii="Century Gothic" w:hAnsi="Century Gothic"/>
          <w:sz w:val="20"/>
          <w:szCs w:val="20"/>
        </w:rPr>
        <w:t>11,83</w:t>
      </w:r>
      <w:r w:rsidRPr="002146BF">
        <w:rPr>
          <w:rFonts w:ascii="Century Gothic" w:hAnsi="Century Gothic"/>
          <w:sz w:val="20"/>
          <w:szCs w:val="20"/>
        </w:rPr>
        <w:t xml:space="preserve">%. </w:t>
      </w:r>
    </w:p>
    <w:p w:rsidR="0003772C" w:rsidRDefault="0003772C" w:rsidP="00B47443">
      <w:pPr>
        <w:autoSpaceDE w:val="0"/>
        <w:autoSpaceDN w:val="0"/>
        <w:adjustRightInd w:val="0"/>
        <w:spacing w:after="0" w:line="360" w:lineRule="auto"/>
        <w:jc w:val="both"/>
        <w:rPr>
          <w:rFonts w:ascii="Century Gothic" w:hAnsi="Century Gothic"/>
          <w:sz w:val="20"/>
          <w:szCs w:val="20"/>
        </w:rPr>
      </w:pPr>
      <w:r>
        <w:rPr>
          <w:noProof/>
        </w:rPr>
        <w:drawing>
          <wp:inline distT="0" distB="0" distL="0" distR="0" wp14:anchorId="618C4951" wp14:editId="5DE5A315">
            <wp:extent cx="5416826" cy="1490870"/>
            <wp:effectExtent l="0" t="0" r="12700" b="1460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3772C" w:rsidRDefault="0003772C" w:rsidP="0003772C">
      <w:pPr>
        <w:autoSpaceDE w:val="0"/>
        <w:autoSpaceDN w:val="0"/>
        <w:adjustRightInd w:val="0"/>
        <w:spacing w:line="360" w:lineRule="auto"/>
        <w:jc w:val="both"/>
        <w:rPr>
          <w:rFonts w:ascii="Century Gothic" w:hAnsi="Century Gothic"/>
          <w:sz w:val="20"/>
          <w:szCs w:val="20"/>
        </w:rPr>
      </w:pPr>
      <w:r>
        <w:rPr>
          <w:rFonts w:ascii="Century Gothic" w:hAnsi="Century Gothic"/>
          <w:sz w:val="20"/>
          <w:szCs w:val="20"/>
        </w:rPr>
        <w:t>Jika memperhitungkan tingkat kenaikan harga atau inflasi</w:t>
      </w:r>
      <w:r w:rsidR="00D4189E">
        <w:rPr>
          <w:rFonts w:ascii="Century Gothic" w:hAnsi="Century Gothic"/>
          <w:sz w:val="20"/>
          <w:szCs w:val="20"/>
        </w:rPr>
        <w:t xml:space="preserve">, yang dihitung berdasarkan PDRB ADHK 2010, </w:t>
      </w:r>
      <w:r>
        <w:rPr>
          <w:rFonts w:ascii="Century Gothic" w:hAnsi="Century Gothic"/>
          <w:sz w:val="20"/>
          <w:szCs w:val="20"/>
        </w:rPr>
        <w:t xml:space="preserve"> maka </w:t>
      </w:r>
      <w:r w:rsidRPr="002146BF">
        <w:rPr>
          <w:rFonts w:ascii="Century Gothic" w:hAnsi="Century Gothic"/>
          <w:sz w:val="20"/>
          <w:szCs w:val="20"/>
        </w:rPr>
        <w:t xml:space="preserve">PDRB per kapita </w:t>
      </w:r>
      <w:r>
        <w:rPr>
          <w:rFonts w:ascii="Century Gothic" w:hAnsi="Century Gothic"/>
          <w:sz w:val="20"/>
          <w:szCs w:val="20"/>
        </w:rPr>
        <w:t>riil</w:t>
      </w:r>
      <w:r w:rsidRPr="002146BF">
        <w:rPr>
          <w:rFonts w:ascii="Century Gothic" w:hAnsi="Century Gothic"/>
          <w:sz w:val="20"/>
          <w:szCs w:val="20"/>
        </w:rPr>
        <w:t xml:space="preserve"> </w:t>
      </w:r>
      <w:r>
        <w:rPr>
          <w:rFonts w:ascii="Century Gothic" w:hAnsi="Century Gothic"/>
          <w:sz w:val="20"/>
          <w:szCs w:val="20"/>
        </w:rPr>
        <w:t xml:space="preserve">masyarakat </w:t>
      </w:r>
      <w:r w:rsidRPr="002146BF">
        <w:rPr>
          <w:rFonts w:ascii="Century Gothic" w:hAnsi="Century Gothic"/>
          <w:sz w:val="20"/>
          <w:szCs w:val="20"/>
        </w:rPr>
        <w:t>Kota Baubau</w:t>
      </w:r>
      <w:r>
        <w:rPr>
          <w:rFonts w:ascii="Century Gothic" w:hAnsi="Century Gothic"/>
          <w:sz w:val="20"/>
          <w:szCs w:val="20"/>
        </w:rPr>
        <w:t xml:space="preserve"> meningkat </w:t>
      </w:r>
      <w:r w:rsidRPr="002146BF">
        <w:rPr>
          <w:rFonts w:ascii="Century Gothic" w:hAnsi="Century Gothic"/>
          <w:sz w:val="20"/>
          <w:szCs w:val="20"/>
        </w:rPr>
        <w:t xml:space="preserve">dari Rp. </w:t>
      </w:r>
      <w:r>
        <w:rPr>
          <w:rFonts w:ascii="Century Gothic" w:hAnsi="Century Gothic"/>
          <w:sz w:val="20"/>
          <w:szCs w:val="20"/>
        </w:rPr>
        <w:t>30,6</w:t>
      </w:r>
      <w:r w:rsidRPr="002146BF">
        <w:rPr>
          <w:rFonts w:ascii="Century Gothic" w:hAnsi="Century Gothic"/>
          <w:sz w:val="20"/>
          <w:szCs w:val="20"/>
        </w:rPr>
        <w:t xml:space="preserve"> juta pada tahun 2014 menjadi Rp. </w:t>
      </w:r>
      <w:r>
        <w:rPr>
          <w:rFonts w:ascii="Century Gothic" w:hAnsi="Century Gothic"/>
          <w:sz w:val="20"/>
          <w:szCs w:val="20"/>
        </w:rPr>
        <w:t xml:space="preserve">33,96 </w:t>
      </w:r>
      <w:r w:rsidRPr="002146BF">
        <w:rPr>
          <w:rFonts w:ascii="Century Gothic" w:hAnsi="Century Gothic"/>
          <w:sz w:val="20"/>
          <w:szCs w:val="20"/>
        </w:rPr>
        <w:t xml:space="preserve">juta atau </w:t>
      </w:r>
      <w:r>
        <w:rPr>
          <w:rFonts w:ascii="Century Gothic" w:hAnsi="Century Gothic"/>
          <w:sz w:val="20"/>
          <w:szCs w:val="20"/>
        </w:rPr>
        <w:t>meningkat 8,02</w:t>
      </w:r>
      <w:r w:rsidRPr="002146BF">
        <w:rPr>
          <w:rFonts w:ascii="Century Gothic" w:hAnsi="Century Gothic"/>
          <w:sz w:val="20"/>
          <w:szCs w:val="20"/>
        </w:rPr>
        <w:t>%</w:t>
      </w:r>
      <w:r>
        <w:rPr>
          <w:rFonts w:ascii="Century Gothic" w:hAnsi="Century Gothic"/>
          <w:sz w:val="20"/>
          <w:szCs w:val="20"/>
        </w:rPr>
        <w:t>, dengan asumsi bahwa selama tahun 2014-2015</w:t>
      </w:r>
      <w:r w:rsidRPr="002146BF">
        <w:rPr>
          <w:rFonts w:ascii="Century Gothic" w:hAnsi="Century Gothic"/>
          <w:sz w:val="20"/>
          <w:szCs w:val="20"/>
        </w:rPr>
        <w:t xml:space="preserve"> </w:t>
      </w:r>
      <w:r>
        <w:rPr>
          <w:rFonts w:ascii="Century Gothic" w:hAnsi="Century Gothic"/>
          <w:sz w:val="20"/>
          <w:szCs w:val="20"/>
        </w:rPr>
        <w:t xml:space="preserve">pendapatan masyarakat Kota Baubau meningkat rata-rata </w:t>
      </w:r>
      <w:r w:rsidRPr="002146BF">
        <w:rPr>
          <w:rFonts w:ascii="Century Gothic" w:hAnsi="Century Gothic"/>
          <w:sz w:val="20"/>
          <w:szCs w:val="20"/>
        </w:rPr>
        <w:t xml:space="preserve">Rp. </w:t>
      </w:r>
      <w:r>
        <w:rPr>
          <w:rFonts w:ascii="Century Gothic" w:hAnsi="Century Gothic"/>
          <w:sz w:val="20"/>
          <w:szCs w:val="20"/>
        </w:rPr>
        <w:t>204.632</w:t>
      </w:r>
      <w:r w:rsidRPr="002146BF">
        <w:rPr>
          <w:rFonts w:ascii="Century Gothic" w:hAnsi="Century Gothic"/>
          <w:sz w:val="20"/>
          <w:szCs w:val="20"/>
        </w:rPr>
        <w:t xml:space="preserve"> </w:t>
      </w:r>
      <w:r>
        <w:rPr>
          <w:rFonts w:ascii="Century Gothic" w:hAnsi="Century Gothic"/>
          <w:sz w:val="20"/>
          <w:szCs w:val="20"/>
        </w:rPr>
        <w:t xml:space="preserve">perkapita </w:t>
      </w:r>
      <w:r w:rsidR="00D4189E">
        <w:rPr>
          <w:rFonts w:ascii="Century Gothic" w:hAnsi="Century Gothic"/>
          <w:sz w:val="20"/>
          <w:szCs w:val="20"/>
        </w:rPr>
        <w:t>per bulan.</w:t>
      </w:r>
    </w:p>
    <w:p w:rsidR="00035214" w:rsidRPr="002146BF" w:rsidRDefault="00035214" w:rsidP="00AD5C8A">
      <w:pPr>
        <w:spacing w:after="0" w:line="360" w:lineRule="auto"/>
        <w:jc w:val="both"/>
        <w:rPr>
          <w:rFonts w:ascii="Century Gothic" w:hAnsi="Century Gothic"/>
          <w:sz w:val="18"/>
          <w:szCs w:val="18"/>
          <w:lang w:val="sv-SE"/>
        </w:rPr>
      </w:pPr>
    </w:p>
    <w:p w:rsidR="00D6163C" w:rsidRPr="00D56AD3" w:rsidRDefault="00AD5C8A" w:rsidP="00D6163C">
      <w:pPr>
        <w:autoSpaceDE w:val="0"/>
        <w:autoSpaceDN w:val="0"/>
        <w:adjustRightInd w:val="0"/>
        <w:spacing w:before="120" w:line="360" w:lineRule="auto"/>
        <w:jc w:val="both"/>
        <w:rPr>
          <w:rFonts w:ascii="Century Gothic" w:hAnsi="Century Gothic" w:cstheme="minorHAnsi"/>
          <w:b/>
          <w:sz w:val="20"/>
          <w:szCs w:val="20"/>
        </w:rPr>
      </w:pPr>
      <w:r w:rsidRPr="002146BF">
        <w:rPr>
          <w:rFonts w:ascii="Century Gothic" w:hAnsi="Century Gothic"/>
          <w:sz w:val="18"/>
          <w:szCs w:val="18"/>
          <w:lang w:val="sv-SE"/>
        </w:rPr>
        <w:t xml:space="preserve"> </w:t>
      </w:r>
      <w:r w:rsidRPr="00B47443">
        <w:rPr>
          <w:rFonts w:ascii="Century Gothic" w:hAnsi="Century Gothic"/>
          <w:b/>
          <w:smallCaps/>
          <w:color w:val="FFFFFF" w:themeColor="background1"/>
          <w:spacing w:val="20"/>
          <w:sz w:val="24"/>
          <w:szCs w:val="24"/>
          <w:highlight w:val="black"/>
        </w:rPr>
        <w:t>Tingkat Inflasi</w:t>
      </w:r>
      <w:r w:rsidRPr="002146BF">
        <w:rPr>
          <w:rFonts w:ascii="Century Gothic" w:hAnsi="Century Gothic"/>
          <w:sz w:val="20"/>
          <w:szCs w:val="20"/>
        </w:rPr>
        <w:t xml:space="preserve">. </w:t>
      </w:r>
      <w:proofErr w:type="gramStart"/>
      <w:r w:rsidRPr="002146BF">
        <w:rPr>
          <w:rFonts w:ascii="Century Gothic" w:hAnsi="Century Gothic"/>
          <w:sz w:val="20"/>
          <w:szCs w:val="20"/>
        </w:rPr>
        <w:t>Inflasi adalah ke</w:t>
      </w:r>
      <w:r w:rsidR="00D4189E">
        <w:rPr>
          <w:rFonts w:ascii="Century Gothic" w:hAnsi="Century Gothic"/>
          <w:sz w:val="20"/>
          <w:szCs w:val="20"/>
        </w:rPr>
        <w:t>ada</w:t>
      </w:r>
      <w:r w:rsidRPr="002146BF">
        <w:rPr>
          <w:rFonts w:ascii="Century Gothic" w:hAnsi="Century Gothic"/>
          <w:sz w:val="20"/>
          <w:szCs w:val="20"/>
        </w:rPr>
        <w:t>an dimana terjadi kelebihan permintaan (</w:t>
      </w:r>
      <w:r w:rsidRPr="002146BF">
        <w:rPr>
          <w:rFonts w:ascii="Century Gothic" w:hAnsi="Century Gothic"/>
          <w:i/>
          <w:iCs/>
          <w:sz w:val="20"/>
          <w:szCs w:val="20"/>
        </w:rPr>
        <w:t>Excess Demand</w:t>
      </w:r>
      <w:r w:rsidRPr="002146BF">
        <w:rPr>
          <w:rFonts w:ascii="Century Gothic" w:hAnsi="Century Gothic"/>
          <w:sz w:val="20"/>
          <w:szCs w:val="20"/>
        </w:rPr>
        <w:t>) terhadap barang-barang dalam perekonomian secara keseluruhan dan sebagai suatu kenaikan harga yang terus menerus dari barang dan jasa secara umum (bukan satu macam barang saja dan sesaat).</w:t>
      </w:r>
      <w:proofErr w:type="gramEnd"/>
      <w:r w:rsidR="00D6163C">
        <w:rPr>
          <w:rFonts w:ascii="Century Gothic" w:hAnsi="Century Gothic"/>
          <w:sz w:val="20"/>
          <w:szCs w:val="20"/>
        </w:rPr>
        <w:t xml:space="preserve"> </w:t>
      </w:r>
      <w:proofErr w:type="gramStart"/>
      <w:r w:rsidR="00D6163C" w:rsidRPr="002146BF">
        <w:rPr>
          <w:rFonts w:ascii="Century Gothic" w:hAnsi="Century Gothic"/>
          <w:sz w:val="20"/>
          <w:szCs w:val="20"/>
        </w:rPr>
        <w:t>Tingkat inflasi merupakan salah satu indikator ekonomi makro penting yang dapat memberikan informasi tentang dinamika perkembangan harga barang dan jasa yang dikonsumsi masyarakat dan berpengaruh terhadap kemampuan daya beli masyarakat.</w:t>
      </w:r>
      <w:proofErr w:type="gramEnd"/>
      <w:r w:rsidR="00D6163C" w:rsidRPr="002146BF">
        <w:rPr>
          <w:rFonts w:ascii="Century Gothic" w:hAnsi="Century Gothic"/>
          <w:sz w:val="20"/>
          <w:szCs w:val="20"/>
        </w:rPr>
        <w:t xml:space="preserve"> </w:t>
      </w:r>
      <w:proofErr w:type="gramStart"/>
      <w:r w:rsidR="00D6163C" w:rsidRPr="002146BF">
        <w:rPr>
          <w:rFonts w:ascii="Century Gothic" w:hAnsi="Century Gothic"/>
          <w:sz w:val="20"/>
          <w:szCs w:val="20"/>
        </w:rPr>
        <w:t>Perkembangan harga barang dan jasa tersebut menjadi salah satu faktor yang dapat mempengaruhi tingkat daya beli.</w:t>
      </w:r>
      <w:proofErr w:type="gramEnd"/>
      <w:r w:rsidR="00D6163C" w:rsidRPr="002146BF">
        <w:rPr>
          <w:rFonts w:ascii="Century Gothic" w:hAnsi="Century Gothic"/>
          <w:sz w:val="20"/>
          <w:szCs w:val="20"/>
        </w:rPr>
        <w:t xml:space="preserve"> Oleh karena itu, pemerintah dan pemerintah daerah </w:t>
      </w:r>
      <w:proofErr w:type="gramStart"/>
      <w:r w:rsidR="00D6163C" w:rsidRPr="002146BF">
        <w:rPr>
          <w:rFonts w:ascii="Century Gothic" w:hAnsi="Century Gothic"/>
          <w:sz w:val="20"/>
          <w:szCs w:val="20"/>
        </w:rPr>
        <w:t>akan</w:t>
      </w:r>
      <w:proofErr w:type="gramEnd"/>
      <w:r w:rsidR="00D6163C" w:rsidRPr="002146BF">
        <w:rPr>
          <w:rFonts w:ascii="Century Gothic" w:hAnsi="Century Gothic"/>
          <w:sz w:val="20"/>
          <w:szCs w:val="20"/>
        </w:rPr>
        <w:t xml:space="preserve"> senantiasa berupaya menjaga tingkat inflasi guna mempertahankan stabilitas daya beli konsumen dan gairah produsen dalam memproduksi barang dan jasa.</w:t>
      </w:r>
      <w:r w:rsidR="00D6163C">
        <w:rPr>
          <w:rFonts w:ascii="Century Gothic" w:hAnsi="Century Gothic"/>
          <w:sz w:val="20"/>
          <w:szCs w:val="20"/>
        </w:rPr>
        <w:t xml:space="preserve"> </w:t>
      </w:r>
      <w:proofErr w:type="gramStart"/>
      <w:r w:rsidR="00D6163C" w:rsidRPr="002146BF">
        <w:rPr>
          <w:rFonts w:ascii="Century Gothic" w:hAnsi="Century Gothic"/>
          <w:sz w:val="20"/>
          <w:szCs w:val="20"/>
        </w:rPr>
        <w:t>Tingkat inflasi dapat dihitung dengan menggunakan PDRB deflator (PDRB ADHB dibagi dengan PDRB ADHK) dan Indeks Harga Konsumen (IHK) dari sekelompok barang-barang yang telah ditetapkan.</w:t>
      </w:r>
      <w:proofErr w:type="gramEnd"/>
      <w:r w:rsidR="00D6163C" w:rsidRPr="002146BF">
        <w:rPr>
          <w:rFonts w:ascii="Century Gothic" w:hAnsi="Century Gothic"/>
          <w:sz w:val="20"/>
          <w:szCs w:val="20"/>
        </w:rPr>
        <w:t xml:space="preserve"> Berdasarkan PDRB deflator (</w:t>
      </w:r>
      <w:r w:rsidR="00D6163C" w:rsidRPr="002146BF">
        <w:rPr>
          <w:rFonts w:ascii="Century Gothic" w:hAnsi="Century Gothic"/>
          <w:i/>
          <w:iCs/>
          <w:sz w:val="20"/>
          <w:szCs w:val="20"/>
        </w:rPr>
        <w:t>y.o.y</w:t>
      </w:r>
      <w:r w:rsidR="00D6163C" w:rsidRPr="002146BF">
        <w:rPr>
          <w:rFonts w:ascii="Century Gothic" w:hAnsi="Century Gothic"/>
          <w:sz w:val="20"/>
          <w:szCs w:val="20"/>
        </w:rPr>
        <w:t>) laju inflasi Kota Baubau tahun 2009-2015 berada pada kisaran 0</w:t>
      </w:r>
      <w:proofErr w:type="gramStart"/>
      <w:r w:rsidR="00D6163C" w:rsidRPr="002146BF">
        <w:rPr>
          <w:rFonts w:ascii="Century Gothic" w:hAnsi="Century Gothic"/>
          <w:sz w:val="20"/>
          <w:szCs w:val="20"/>
        </w:rPr>
        <w:t>,19</w:t>
      </w:r>
      <w:proofErr w:type="gramEnd"/>
      <w:r w:rsidR="00D6163C" w:rsidRPr="002146BF">
        <w:rPr>
          <w:rFonts w:ascii="Century Gothic" w:hAnsi="Century Gothic"/>
          <w:sz w:val="20"/>
          <w:szCs w:val="20"/>
        </w:rPr>
        <w:t>%</w:t>
      </w:r>
      <w:r w:rsidR="00D6163C">
        <w:rPr>
          <w:rFonts w:ascii="Century Gothic" w:hAnsi="Century Gothic"/>
          <w:sz w:val="20"/>
          <w:szCs w:val="20"/>
        </w:rPr>
        <w:t xml:space="preserve"> </w:t>
      </w:r>
      <w:r w:rsidR="00D6163C" w:rsidRPr="002146BF">
        <w:rPr>
          <w:rFonts w:ascii="Century Gothic" w:hAnsi="Century Gothic"/>
          <w:sz w:val="20"/>
          <w:szCs w:val="20"/>
        </w:rPr>
        <w:t>-</w:t>
      </w:r>
      <w:r w:rsidR="00D6163C">
        <w:rPr>
          <w:rFonts w:ascii="Century Gothic" w:hAnsi="Century Gothic"/>
          <w:sz w:val="20"/>
          <w:szCs w:val="20"/>
        </w:rPr>
        <w:t xml:space="preserve"> 3,3</w:t>
      </w:r>
      <w:r w:rsidR="00D6163C" w:rsidRPr="002146BF">
        <w:rPr>
          <w:rFonts w:ascii="Century Gothic" w:hAnsi="Century Gothic"/>
          <w:sz w:val="20"/>
          <w:szCs w:val="20"/>
        </w:rPr>
        <w:t>%.  Sedangkan menurut Indeks Harga Konsumen pada 2009 mencapai 8,67%, akan tetapi pada tahun 2014 naik yaitu sebesar 11,37% dan masuk dalam kategori tingkat inflasi sedang</w:t>
      </w:r>
      <w:r w:rsidR="00D6163C">
        <w:rPr>
          <w:rFonts w:ascii="Century Gothic" w:hAnsi="Century Gothic"/>
          <w:sz w:val="20"/>
          <w:szCs w:val="20"/>
        </w:rPr>
        <w:t>.</w:t>
      </w:r>
      <w:r w:rsidR="00D6163C" w:rsidRPr="002146BF">
        <w:rPr>
          <w:rFonts w:ascii="Century Gothic" w:hAnsi="Century Gothic"/>
          <w:sz w:val="20"/>
          <w:szCs w:val="20"/>
        </w:rPr>
        <w:t xml:space="preserve"> </w:t>
      </w:r>
    </w:p>
    <w:p w:rsidR="00AD5C8A" w:rsidRPr="00DA23C1" w:rsidRDefault="00DA23C1" w:rsidP="00DA23C1">
      <w:pPr>
        <w:spacing w:after="0" w:line="240" w:lineRule="auto"/>
        <w:jc w:val="center"/>
        <w:rPr>
          <w:rFonts w:ascii="Century Gothic" w:hAnsi="Century Gothic" w:cs="Calibri"/>
          <w:b/>
          <w:sz w:val="20"/>
          <w:szCs w:val="20"/>
          <w:lang w:val="sv-SE"/>
        </w:rPr>
      </w:pPr>
      <w:r w:rsidRPr="00DA23C1">
        <w:rPr>
          <w:rFonts w:ascii="Century Gothic" w:hAnsi="Century Gothic" w:cs="Calibri"/>
          <w:b/>
          <w:sz w:val="20"/>
          <w:szCs w:val="20"/>
          <w:lang w:val="sv-SE"/>
        </w:rPr>
        <w:lastRenderedPageBreak/>
        <w:t xml:space="preserve">Gambar </w:t>
      </w:r>
      <w:r w:rsidR="006550EE">
        <w:rPr>
          <w:rFonts w:ascii="Century Gothic" w:hAnsi="Century Gothic" w:cs="Calibri"/>
          <w:b/>
          <w:sz w:val="20"/>
          <w:szCs w:val="20"/>
          <w:lang w:val="sv-SE"/>
        </w:rPr>
        <w:t>3.2</w:t>
      </w:r>
    </w:p>
    <w:p w:rsidR="00AD5C8A" w:rsidRPr="00DA23C1" w:rsidRDefault="00AD5C8A" w:rsidP="00DA23C1">
      <w:pPr>
        <w:spacing w:after="0" w:line="240" w:lineRule="auto"/>
        <w:jc w:val="center"/>
        <w:rPr>
          <w:rFonts w:ascii="Century Gothic" w:hAnsi="Century Gothic" w:cs="Arial"/>
          <w:sz w:val="20"/>
          <w:szCs w:val="20"/>
        </w:rPr>
      </w:pPr>
      <w:r w:rsidRPr="00DA23C1">
        <w:rPr>
          <w:rFonts w:ascii="Century Gothic" w:hAnsi="Century Gothic" w:cs="Arial"/>
          <w:sz w:val="20"/>
          <w:szCs w:val="20"/>
        </w:rPr>
        <w:t>Perkembangan Tingkat Inflasi Kota Baubau menggunakan</w:t>
      </w:r>
    </w:p>
    <w:p w:rsidR="00AD5C8A" w:rsidRPr="00DA23C1" w:rsidRDefault="00AD5C8A" w:rsidP="00DA23C1">
      <w:pPr>
        <w:spacing w:after="0" w:line="240" w:lineRule="auto"/>
        <w:jc w:val="center"/>
        <w:rPr>
          <w:rFonts w:ascii="Century Gothic" w:hAnsi="Century Gothic" w:cs="Arial"/>
          <w:sz w:val="20"/>
          <w:szCs w:val="20"/>
        </w:rPr>
      </w:pPr>
      <w:r w:rsidRPr="00DA23C1">
        <w:rPr>
          <w:rFonts w:ascii="Century Gothic" w:hAnsi="Century Gothic" w:cs="Arial"/>
          <w:sz w:val="20"/>
          <w:szCs w:val="20"/>
        </w:rPr>
        <w:t xml:space="preserve">PDRB </w:t>
      </w:r>
      <w:proofErr w:type="gramStart"/>
      <w:r w:rsidRPr="00DA23C1">
        <w:rPr>
          <w:rFonts w:ascii="Century Gothic" w:hAnsi="Century Gothic" w:cs="Arial"/>
          <w:sz w:val="20"/>
          <w:szCs w:val="20"/>
        </w:rPr>
        <w:t>deflator(</w:t>
      </w:r>
      <w:proofErr w:type="gramEnd"/>
      <w:r w:rsidRPr="00DA23C1">
        <w:rPr>
          <w:rFonts w:ascii="Century Gothic" w:hAnsi="Century Gothic" w:cs="Arial"/>
          <w:sz w:val="20"/>
          <w:szCs w:val="20"/>
        </w:rPr>
        <w:t>y.o.y) dan IHK Tahun 2009 – 2015</w:t>
      </w:r>
    </w:p>
    <w:p w:rsidR="00AD5C8A" w:rsidRPr="002146BF" w:rsidRDefault="00DA23C1" w:rsidP="00AD5C8A">
      <w:pPr>
        <w:spacing w:after="0" w:line="240" w:lineRule="auto"/>
        <w:ind w:left="1050" w:right="-12" w:hanging="1050"/>
        <w:jc w:val="both"/>
        <w:rPr>
          <w:rFonts w:ascii="Century Gothic" w:hAnsi="Century Gothic" w:cs="Calibri"/>
          <w:sz w:val="16"/>
          <w:szCs w:val="16"/>
          <w:lang w:val="sv-SE"/>
        </w:rPr>
      </w:pPr>
      <w:r w:rsidRPr="00DA23C1">
        <w:rPr>
          <w:rFonts w:ascii="Century Gothic" w:hAnsi="Century Gothic"/>
          <w:noProof/>
          <w:sz w:val="20"/>
          <w:szCs w:val="20"/>
        </w:rPr>
        <w:drawing>
          <wp:anchor distT="0" distB="0" distL="114300" distR="114300" simplePos="0" relativeHeight="251688960" behindDoc="1" locked="0" layoutInCell="1" allowOverlap="1" wp14:anchorId="5060132C" wp14:editId="10CC59E0">
            <wp:simplePos x="0" y="0"/>
            <wp:positionH relativeFrom="column">
              <wp:posOffset>11430</wp:posOffset>
            </wp:positionH>
            <wp:positionV relativeFrom="paragraph">
              <wp:posOffset>57150</wp:posOffset>
            </wp:positionV>
            <wp:extent cx="5158105" cy="1649730"/>
            <wp:effectExtent l="0" t="0" r="23495" b="26670"/>
            <wp:wrapTight wrapText="bothSides">
              <wp:wrapPolygon edited="0">
                <wp:start x="0" y="0"/>
                <wp:lineTo x="0" y="21700"/>
                <wp:lineTo x="21619" y="21700"/>
                <wp:lineTo x="21619" y="0"/>
                <wp:lineTo x="0" y="0"/>
              </wp:wrapPolygon>
            </wp:wrapTight>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Pr>
          <w:rFonts w:ascii="Century Gothic" w:hAnsi="Century Gothic" w:cs="Calibri"/>
          <w:sz w:val="16"/>
          <w:szCs w:val="16"/>
          <w:lang w:val="sv-SE"/>
        </w:rPr>
        <w:t xml:space="preserve"> </w:t>
      </w:r>
      <w:r w:rsidR="00AD5C8A" w:rsidRPr="002146BF">
        <w:rPr>
          <w:rFonts w:ascii="Century Gothic" w:hAnsi="Century Gothic" w:cs="Calibri"/>
          <w:sz w:val="16"/>
          <w:szCs w:val="16"/>
          <w:lang w:val="sv-SE"/>
        </w:rPr>
        <w:t xml:space="preserve">Keterangan: Nilai PDRB deflator tahun 2015 adalah sangat sementara,  </w:t>
      </w:r>
    </w:p>
    <w:p w:rsidR="00D6163C" w:rsidRDefault="00D6163C" w:rsidP="00AD5C8A">
      <w:pPr>
        <w:autoSpaceDE w:val="0"/>
        <w:autoSpaceDN w:val="0"/>
        <w:adjustRightInd w:val="0"/>
        <w:spacing w:after="0" w:line="360" w:lineRule="auto"/>
        <w:jc w:val="both"/>
        <w:rPr>
          <w:rFonts w:ascii="Century Gothic" w:hAnsi="Century Gothic" w:cs="Arial"/>
          <w:sz w:val="20"/>
          <w:szCs w:val="20"/>
        </w:rPr>
      </w:pPr>
    </w:p>
    <w:p w:rsidR="00AD5C8A" w:rsidRDefault="00913C64" w:rsidP="00AD5C8A">
      <w:pPr>
        <w:autoSpaceDE w:val="0"/>
        <w:autoSpaceDN w:val="0"/>
        <w:adjustRightInd w:val="0"/>
        <w:spacing w:after="0" w:line="360" w:lineRule="auto"/>
        <w:jc w:val="both"/>
        <w:rPr>
          <w:rFonts w:ascii="Century Gothic" w:hAnsi="Century Gothic" w:cs="Arial"/>
          <w:sz w:val="20"/>
          <w:szCs w:val="20"/>
        </w:rPr>
      </w:pPr>
      <w:r>
        <w:rPr>
          <w:rFonts w:ascii="Century Gothic" w:hAnsi="Century Gothic" w:cs="Arial"/>
          <w:sz w:val="20"/>
          <w:szCs w:val="20"/>
        </w:rPr>
        <w:t xml:space="preserve">Selanjutnya pada gambar 3.x </w:t>
      </w:r>
      <w:r w:rsidR="00AD5C8A" w:rsidRPr="002146BF">
        <w:rPr>
          <w:rFonts w:ascii="Century Gothic" w:hAnsi="Century Gothic" w:cs="Arial"/>
          <w:sz w:val="20"/>
          <w:szCs w:val="20"/>
        </w:rPr>
        <w:t xml:space="preserve"> berikut diuraikan perkembangan inflasi perbulan di Kota Baubau pada tahun 2014</w:t>
      </w:r>
      <w:r>
        <w:rPr>
          <w:rFonts w:ascii="Century Gothic" w:hAnsi="Century Gothic" w:cs="Arial"/>
          <w:sz w:val="20"/>
          <w:szCs w:val="20"/>
        </w:rPr>
        <w:t xml:space="preserve"> – triwulan II tahun 2015, </w:t>
      </w:r>
      <w:r w:rsidR="00AD5C8A" w:rsidRPr="002146BF">
        <w:rPr>
          <w:rFonts w:ascii="Century Gothic" w:hAnsi="Century Gothic" w:cs="Arial"/>
          <w:sz w:val="20"/>
          <w:szCs w:val="20"/>
        </w:rPr>
        <w:t>jika dibandingkan dengan Kota Kendari, Provinsi Sulawesi tenggara secara umum dan Inflasi Nasional, yang menunjukkan bahwa secara  dari bulan ke bulan atau Inflasi Month to month (m-o-m) Kota Baubau selalu berada  diatas Kota kendari, regional Sultra dan Nasional, sehingga</w:t>
      </w:r>
      <w:r w:rsidR="00D6163C">
        <w:rPr>
          <w:rFonts w:ascii="Century Gothic" w:hAnsi="Century Gothic" w:cs="Arial"/>
          <w:sz w:val="20"/>
          <w:szCs w:val="20"/>
        </w:rPr>
        <w:t xml:space="preserve"> secara kumulatif Inflasi Year </w:t>
      </w:r>
      <w:r w:rsidR="00AD5C8A" w:rsidRPr="002146BF">
        <w:rPr>
          <w:rFonts w:ascii="Century Gothic" w:hAnsi="Century Gothic" w:cs="Arial"/>
          <w:sz w:val="20"/>
          <w:szCs w:val="20"/>
        </w:rPr>
        <w:t xml:space="preserve">of year (y-o-y) diakhir tahun 2014 pada kuartal keempat Inflasi Kota Baubau mencapai 11,37%, angka ini jauh diiatas Regional Sultra, Kawasan Indonesia timur yang diukur dengan Inflasi dikawasan Sulawesi – Maluku - Papua (SuLampua), serta Inflasi Nasional yang rata-rata masih berada dibawah dua digit. </w:t>
      </w:r>
      <w:proofErr w:type="gramStart"/>
      <w:r w:rsidR="00AD5C8A" w:rsidRPr="002146BF">
        <w:rPr>
          <w:rFonts w:ascii="Century Gothic" w:hAnsi="Century Gothic" w:cs="Arial"/>
          <w:sz w:val="20"/>
          <w:szCs w:val="20"/>
        </w:rPr>
        <w:t>Kondisi ini tentu saja berdampak negatif pada jalannya roda perekonomian dan mempengaruhi kualitas pertumbuhan ekonomi Kota Baubau.</w:t>
      </w:r>
      <w:proofErr w:type="gramEnd"/>
      <w:r w:rsidR="00AD5C8A" w:rsidRPr="002146BF">
        <w:rPr>
          <w:rFonts w:ascii="Century Gothic" w:hAnsi="Century Gothic" w:cs="Arial"/>
          <w:sz w:val="20"/>
          <w:szCs w:val="20"/>
        </w:rPr>
        <w:t xml:space="preserve">  </w:t>
      </w:r>
    </w:p>
    <w:p w:rsidR="00D6163C" w:rsidRDefault="006550EE" w:rsidP="00D6163C">
      <w:pPr>
        <w:autoSpaceDE w:val="0"/>
        <w:autoSpaceDN w:val="0"/>
        <w:adjustRightInd w:val="0"/>
        <w:spacing w:after="0" w:line="240" w:lineRule="auto"/>
        <w:jc w:val="center"/>
        <w:rPr>
          <w:rFonts w:ascii="Century Gothic" w:hAnsi="Century Gothic"/>
          <w:b/>
          <w:sz w:val="20"/>
          <w:szCs w:val="20"/>
        </w:rPr>
      </w:pPr>
      <w:r>
        <w:rPr>
          <w:rFonts w:ascii="Century Gothic" w:hAnsi="Century Gothic"/>
          <w:b/>
          <w:sz w:val="20"/>
          <w:szCs w:val="20"/>
        </w:rPr>
        <w:t>Gambar 3.3</w:t>
      </w:r>
    </w:p>
    <w:p w:rsidR="00D6163C" w:rsidRDefault="00D6163C" w:rsidP="00D6163C">
      <w:pPr>
        <w:autoSpaceDE w:val="0"/>
        <w:autoSpaceDN w:val="0"/>
        <w:adjustRightInd w:val="0"/>
        <w:spacing w:after="0" w:line="240" w:lineRule="auto"/>
        <w:jc w:val="center"/>
        <w:rPr>
          <w:rFonts w:ascii="Century Gothic" w:hAnsi="Century Gothic"/>
          <w:b/>
          <w:sz w:val="20"/>
          <w:szCs w:val="20"/>
        </w:rPr>
      </w:pPr>
      <w:r>
        <w:rPr>
          <w:rFonts w:ascii="Century Gothic" w:hAnsi="Century Gothic" w:cs="Arial"/>
          <w:noProof/>
          <w:sz w:val="20"/>
          <w:szCs w:val="20"/>
        </w:rPr>
        <w:drawing>
          <wp:anchor distT="0" distB="0" distL="114300" distR="114300" simplePos="0" relativeHeight="251692032" behindDoc="0" locked="0" layoutInCell="1" allowOverlap="1" wp14:anchorId="6A1C1995" wp14:editId="530E49EF">
            <wp:simplePos x="0" y="0"/>
            <wp:positionH relativeFrom="column">
              <wp:posOffset>11430</wp:posOffset>
            </wp:positionH>
            <wp:positionV relativeFrom="paragraph">
              <wp:posOffset>183515</wp:posOffset>
            </wp:positionV>
            <wp:extent cx="5264785" cy="2066925"/>
            <wp:effectExtent l="0" t="0" r="0" b="9525"/>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b="8333"/>
                    <a:stretch/>
                  </pic:blipFill>
                  <pic:spPr bwMode="auto">
                    <a:xfrm>
                      <a:off x="0" y="0"/>
                      <a:ext cx="5264785" cy="2066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46BF">
        <w:rPr>
          <w:rFonts w:ascii="Century Gothic" w:hAnsi="Century Gothic"/>
          <w:b/>
          <w:sz w:val="20"/>
          <w:szCs w:val="20"/>
        </w:rPr>
        <w:t>Pergerakan dan Perbandingan Inflasi Kota Baubau tahun 2014</w:t>
      </w:r>
      <w:r>
        <w:rPr>
          <w:rFonts w:ascii="Century Gothic" w:hAnsi="Century Gothic"/>
          <w:b/>
          <w:sz w:val="20"/>
          <w:szCs w:val="20"/>
        </w:rPr>
        <w:t>- 2015</w:t>
      </w:r>
    </w:p>
    <w:p w:rsidR="00D6163C" w:rsidRPr="002146BF" w:rsidRDefault="00D6163C" w:rsidP="00D6163C">
      <w:pPr>
        <w:autoSpaceDE w:val="0"/>
        <w:autoSpaceDN w:val="0"/>
        <w:adjustRightInd w:val="0"/>
        <w:spacing w:after="0" w:line="360" w:lineRule="auto"/>
        <w:jc w:val="both"/>
        <w:rPr>
          <w:rFonts w:ascii="Century Gothic" w:hAnsi="Century Gothic" w:cs="Arial"/>
          <w:sz w:val="8"/>
          <w:szCs w:val="20"/>
        </w:rPr>
      </w:pPr>
    </w:p>
    <w:p w:rsidR="00D6163C" w:rsidRDefault="00D6163C" w:rsidP="00D6163C">
      <w:pPr>
        <w:autoSpaceDE w:val="0"/>
        <w:autoSpaceDN w:val="0"/>
        <w:adjustRightInd w:val="0"/>
        <w:spacing w:after="0" w:line="240" w:lineRule="auto"/>
        <w:jc w:val="both"/>
        <w:rPr>
          <w:rFonts w:ascii="Century Gothic" w:eastAsia="Times New Roman" w:hAnsi="Century Gothic"/>
          <w:sz w:val="16"/>
          <w:szCs w:val="16"/>
        </w:rPr>
      </w:pPr>
      <w:r w:rsidRPr="002146BF">
        <w:rPr>
          <w:rFonts w:ascii="Century Gothic" w:hAnsi="Century Gothic"/>
          <w:sz w:val="16"/>
          <w:szCs w:val="16"/>
        </w:rPr>
        <w:t xml:space="preserve">Sumber: </w:t>
      </w:r>
      <w:r w:rsidRPr="002146BF">
        <w:rPr>
          <w:rFonts w:ascii="Century Gothic" w:eastAsia="Times New Roman" w:hAnsi="Century Gothic"/>
          <w:sz w:val="16"/>
          <w:szCs w:val="16"/>
        </w:rPr>
        <w:t>BPS Kota Baubau (</w:t>
      </w:r>
      <w:proofErr w:type="gramStart"/>
      <w:r w:rsidRPr="002146BF">
        <w:rPr>
          <w:rFonts w:ascii="Century Gothic" w:eastAsia="Times New Roman" w:hAnsi="Century Gothic"/>
          <w:sz w:val="16"/>
          <w:szCs w:val="16"/>
        </w:rPr>
        <w:t>201</w:t>
      </w:r>
      <w:r>
        <w:rPr>
          <w:rFonts w:ascii="Century Gothic" w:eastAsia="Times New Roman" w:hAnsi="Century Gothic"/>
          <w:sz w:val="16"/>
          <w:szCs w:val="16"/>
        </w:rPr>
        <w:t>5</w:t>
      </w:r>
      <w:r w:rsidRPr="002146BF">
        <w:rPr>
          <w:rFonts w:ascii="Century Gothic" w:eastAsia="Times New Roman" w:hAnsi="Century Gothic"/>
          <w:sz w:val="16"/>
          <w:szCs w:val="16"/>
        </w:rPr>
        <w:t xml:space="preserve"> )</w:t>
      </w:r>
      <w:proofErr w:type="gramEnd"/>
      <w:r w:rsidRPr="002146BF">
        <w:rPr>
          <w:rFonts w:ascii="Century Gothic" w:eastAsia="Times New Roman" w:hAnsi="Century Gothic"/>
          <w:sz w:val="16"/>
          <w:szCs w:val="16"/>
        </w:rPr>
        <w:t xml:space="preserve">, Perkembangan Indeks Harga Konsumen/Inflasi </w:t>
      </w:r>
      <w:r>
        <w:rPr>
          <w:rFonts w:ascii="Century Gothic" w:eastAsia="Times New Roman" w:hAnsi="Century Gothic"/>
          <w:sz w:val="16"/>
          <w:szCs w:val="16"/>
        </w:rPr>
        <w:t>2014 dan 2015</w:t>
      </w:r>
    </w:p>
    <w:p w:rsidR="00D6163C" w:rsidRPr="002146BF" w:rsidRDefault="00D6163C" w:rsidP="00D6163C">
      <w:pPr>
        <w:autoSpaceDE w:val="0"/>
        <w:autoSpaceDN w:val="0"/>
        <w:adjustRightInd w:val="0"/>
        <w:spacing w:after="120" w:line="240" w:lineRule="auto"/>
        <w:jc w:val="both"/>
        <w:rPr>
          <w:rFonts w:ascii="Century Gothic" w:hAnsi="Century Gothic" w:cs="Arial"/>
          <w:sz w:val="20"/>
          <w:szCs w:val="20"/>
        </w:rPr>
      </w:pPr>
      <w:r>
        <w:rPr>
          <w:rFonts w:ascii="Century Gothic" w:hAnsi="Century Gothic"/>
          <w:sz w:val="16"/>
          <w:szCs w:val="16"/>
        </w:rPr>
        <w:t xml:space="preserve">                </w:t>
      </w:r>
      <w:r w:rsidRPr="002146BF">
        <w:rPr>
          <w:rFonts w:ascii="Century Gothic" w:hAnsi="Century Gothic"/>
          <w:sz w:val="16"/>
          <w:szCs w:val="16"/>
        </w:rPr>
        <w:t>Bank Indonesia</w:t>
      </w:r>
      <w:proofErr w:type="gramStart"/>
      <w:r w:rsidRPr="002146BF">
        <w:rPr>
          <w:rFonts w:ascii="Century Gothic" w:hAnsi="Century Gothic"/>
          <w:sz w:val="16"/>
          <w:szCs w:val="16"/>
        </w:rPr>
        <w:t>,  Kajian</w:t>
      </w:r>
      <w:proofErr w:type="gramEnd"/>
      <w:r w:rsidRPr="002146BF">
        <w:rPr>
          <w:rFonts w:ascii="Century Gothic" w:hAnsi="Century Gothic"/>
          <w:sz w:val="16"/>
          <w:szCs w:val="16"/>
        </w:rPr>
        <w:t xml:space="preserve"> Ekonomi Keuangan Regiona</w:t>
      </w:r>
      <w:r>
        <w:rPr>
          <w:rFonts w:ascii="Century Gothic" w:hAnsi="Century Gothic"/>
          <w:sz w:val="16"/>
          <w:szCs w:val="16"/>
        </w:rPr>
        <w:t>l</w:t>
      </w:r>
      <w:r w:rsidRPr="002146BF">
        <w:rPr>
          <w:rFonts w:ascii="Century Gothic" w:hAnsi="Century Gothic"/>
          <w:sz w:val="16"/>
          <w:szCs w:val="16"/>
        </w:rPr>
        <w:t xml:space="preserve"> Prov</w:t>
      </w:r>
      <w:r>
        <w:rPr>
          <w:rFonts w:ascii="Century Gothic" w:hAnsi="Century Gothic"/>
          <w:sz w:val="16"/>
          <w:szCs w:val="16"/>
        </w:rPr>
        <w:t>. Sultra edisi Triwulan I-IV 2015</w:t>
      </w:r>
    </w:p>
    <w:p w:rsidR="00D6163C" w:rsidRPr="002146BF" w:rsidRDefault="00D6163C" w:rsidP="00D6163C">
      <w:pPr>
        <w:autoSpaceDE w:val="0"/>
        <w:autoSpaceDN w:val="0"/>
        <w:adjustRightInd w:val="0"/>
        <w:spacing w:after="0" w:line="360" w:lineRule="auto"/>
        <w:ind w:firstLine="720"/>
        <w:jc w:val="both"/>
        <w:rPr>
          <w:rFonts w:ascii="Century Gothic" w:hAnsi="Century Gothic" w:cs="Arial"/>
          <w:sz w:val="20"/>
          <w:szCs w:val="20"/>
        </w:rPr>
      </w:pPr>
      <w:r w:rsidRPr="002146BF">
        <w:rPr>
          <w:rFonts w:ascii="Century Gothic" w:hAnsi="Century Gothic" w:cs="Arial"/>
          <w:sz w:val="20"/>
          <w:szCs w:val="20"/>
        </w:rPr>
        <w:t xml:space="preserve">Peningkatan tekanan inflasi di Kota Baubau terutama bersumber dari komponen administered prices dan volatile food. Komponen administered prices menjadi factor terbesar yang mendorong peningkatan pada periode tersebut </w:t>
      </w:r>
      <w:r w:rsidRPr="002146BF">
        <w:rPr>
          <w:rFonts w:ascii="Century Gothic" w:hAnsi="Century Gothic" w:cs="Arial"/>
          <w:sz w:val="20"/>
          <w:szCs w:val="20"/>
        </w:rPr>
        <w:lastRenderedPageBreak/>
        <w:t xml:space="preserve">disebabkan oleh kebijakan kenaikan harga BBM bersubdisi dan Tarif Tenaga Listrik (TTL). </w:t>
      </w:r>
      <w:proofErr w:type="gramStart"/>
      <w:r w:rsidRPr="002146BF">
        <w:rPr>
          <w:rFonts w:ascii="Century Gothic" w:hAnsi="Century Gothic" w:cs="Arial"/>
          <w:sz w:val="20"/>
          <w:szCs w:val="20"/>
        </w:rPr>
        <w:t>Sementara itu, pasokan bahan makanan seperti komoditas cabai merah dan ikan laut tangkap juga mengalami kendala seiring dengan meningkatnya curah hujan dan tingginya gelombang laut.</w:t>
      </w:r>
      <w:proofErr w:type="gramEnd"/>
      <w:r w:rsidRPr="002146BF">
        <w:rPr>
          <w:rFonts w:ascii="Century Gothic" w:hAnsi="Century Gothic" w:cs="Arial"/>
          <w:sz w:val="20"/>
          <w:szCs w:val="20"/>
        </w:rPr>
        <w:t xml:space="preserve"> </w:t>
      </w:r>
    </w:p>
    <w:p w:rsidR="00AD5C8A" w:rsidRPr="002146BF" w:rsidRDefault="00AD5C8A" w:rsidP="00AD5C8A">
      <w:pPr>
        <w:autoSpaceDE w:val="0"/>
        <w:autoSpaceDN w:val="0"/>
        <w:adjustRightInd w:val="0"/>
        <w:spacing w:after="0" w:line="360" w:lineRule="auto"/>
        <w:ind w:firstLine="720"/>
        <w:jc w:val="both"/>
        <w:rPr>
          <w:rFonts w:ascii="Century Gothic" w:hAnsi="Century Gothic" w:cs="Arial"/>
          <w:sz w:val="20"/>
          <w:szCs w:val="20"/>
        </w:rPr>
      </w:pPr>
    </w:p>
    <w:p w:rsidR="00AD5C8A" w:rsidRDefault="00332309" w:rsidP="00833E90">
      <w:pPr>
        <w:pStyle w:val="ListParagraph"/>
        <w:spacing w:line="360" w:lineRule="auto"/>
        <w:ind w:left="0" w:right="5"/>
        <w:jc w:val="both"/>
        <w:rPr>
          <w:rFonts w:ascii="Century Gothic" w:hAnsi="Century Gothic"/>
          <w:color w:val="000000"/>
          <w:sz w:val="20"/>
          <w:szCs w:val="20"/>
          <w:shd w:val="clear" w:color="auto" w:fill="FFFFFF"/>
        </w:rPr>
      </w:pPr>
      <w:r w:rsidRPr="00993625">
        <w:rPr>
          <w:rFonts w:ascii="Century Gothic" w:eastAsiaTheme="minorEastAsia" w:hAnsi="Century Gothic" w:cstheme="minorBidi"/>
          <w:b/>
          <w:smallCaps/>
          <w:color w:val="FFFFFF" w:themeColor="background1"/>
          <w:spacing w:val="20"/>
          <w:highlight w:val="black"/>
        </w:rPr>
        <w:t xml:space="preserve">Kesempatan Kerja </w:t>
      </w:r>
      <w:r w:rsidR="00993625">
        <w:rPr>
          <w:rFonts w:ascii="Century Gothic" w:eastAsiaTheme="minorEastAsia" w:hAnsi="Century Gothic" w:cstheme="minorBidi"/>
          <w:b/>
          <w:smallCaps/>
          <w:color w:val="FFFFFF" w:themeColor="background1"/>
          <w:spacing w:val="20"/>
          <w:highlight w:val="black"/>
        </w:rPr>
        <w:t>&amp;</w:t>
      </w:r>
      <w:r w:rsidR="00FB1A3A">
        <w:rPr>
          <w:rFonts w:ascii="Century Gothic" w:eastAsiaTheme="minorEastAsia" w:hAnsi="Century Gothic" w:cstheme="minorBidi"/>
          <w:b/>
          <w:smallCaps/>
          <w:color w:val="FFFFFF" w:themeColor="background1"/>
          <w:spacing w:val="20"/>
          <w:highlight w:val="black"/>
        </w:rPr>
        <w:t xml:space="preserve"> Pertumbuhan Ekonomi</w:t>
      </w:r>
      <w:r w:rsidR="00AD5C8A" w:rsidRPr="002146BF">
        <w:rPr>
          <w:rFonts w:ascii="Century Gothic" w:hAnsi="Century Gothic" w:cstheme="minorHAnsi"/>
          <w:b/>
          <w:sz w:val="20"/>
          <w:szCs w:val="20"/>
          <w:lang w:val="sv-SE"/>
        </w:rPr>
        <w:t xml:space="preserve"> </w:t>
      </w:r>
      <w:r w:rsidR="00AD5C8A" w:rsidRPr="002146BF">
        <w:rPr>
          <w:rFonts w:ascii="Century Gothic" w:hAnsi="Century Gothic"/>
          <w:sz w:val="20"/>
          <w:szCs w:val="20"/>
        </w:rPr>
        <w:t xml:space="preserve">Pertumbuhan ekonomi merupakan salah satu tujuan akhir dari berbagai negara atau daerah dalam membangun ekonomi negara atau daerahnya, karena diyakini tingkat pertumbuhan ekonomi yang cukup tinggi dan stabil merupakan salah satu solusi dalam upaya meningkatkan kesempatan kerja, mengurangi tingkat pengangguran </w:t>
      </w:r>
      <w:r w:rsidR="00AD5C8A" w:rsidRPr="002146BF">
        <w:rPr>
          <w:rFonts w:ascii="Century Gothic" w:hAnsi="Century Gothic"/>
          <w:color w:val="000000"/>
          <w:sz w:val="20"/>
          <w:szCs w:val="20"/>
        </w:rPr>
        <w:t xml:space="preserve">terbuka dan </w:t>
      </w:r>
      <w:r w:rsidR="00AD5C8A" w:rsidRPr="002146BF">
        <w:rPr>
          <w:rFonts w:ascii="Century Gothic" w:hAnsi="Century Gothic"/>
          <w:sz w:val="20"/>
          <w:szCs w:val="20"/>
        </w:rPr>
        <w:t xml:space="preserve">angka kemiskinan dan </w:t>
      </w:r>
      <w:r w:rsidR="00AD5C8A" w:rsidRPr="002146BF">
        <w:rPr>
          <w:rFonts w:ascii="Century Gothic" w:hAnsi="Century Gothic"/>
          <w:color w:val="000000"/>
          <w:sz w:val="20"/>
          <w:szCs w:val="20"/>
        </w:rPr>
        <w:t>pada akhirnya meningkatkan taraf hidup masyarakat</w:t>
      </w:r>
      <w:r w:rsidR="00AD5C8A" w:rsidRPr="002146BF">
        <w:rPr>
          <w:rFonts w:ascii="Century Gothic" w:hAnsi="Century Gothic"/>
          <w:sz w:val="20"/>
          <w:szCs w:val="20"/>
        </w:rPr>
        <w:t>.</w:t>
      </w:r>
      <w:r w:rsidR="00833E90">
        <w:rPr>
          <w:rFonts w:ascii="Century Gothic" w:hAnsi="Century Gothic"/>
          <w:sz w:val="20"/>
          <w:szCs w:val="20"/>
        </w:rPr>
        <w:t xml:space="preserve"> </w:t>
      </w:r>
      <w:proofErr w:type="gramStart"/>
      <w:r w:rsidR="00AD5C8A" w:rsidRPr="002146BF">
        <w:rPr>
          <w:rFonts w:ascii="Century Gothic" w:hAnsi="Century Gothic"/>
          <w:sz w:val="20"/>
          <w:szCs w:val="20"/>
        </w:rPr>
        <w:t>Salah satu indikator dari kesempatan kerja dapat dilihat dari besaran Tingkat Pengangguran Terbuka (TPT) yang merupakan perbandingan antara penduduk yang tidak bekerja atau sedang mencari pekerjaan dengan angkatan kerja.</w:t>
      </w:r>
      <w:proofErr w:type="gramEnd"/>
      <w:r w:rsidR="00AD5C8A" w:rsidRPr="002146BF">
        <w:rPr>
          <w:rFonts w:ascii="Century Gothic" w:hAnsi="Century Gothic"/>
          <w:sz w:val="20"/>
          <w:szCs w:val="20"/>
        </w:rPr>
        <w:t xml:space="preserve"> Data Badan Pusat Statistik menyebutkan bahwa jumlah angkatan kerja penduduk usia 15 tahun ke atas pada tahun 2014 mencapai 66.184 orang dengan didominasi oleh laki-laki sebanyak 39.906 orang dan perempuan sebanyak 26.278 orang dengan total penduduk yang bekerja sebanyak 61.691 orang, sehingga rasio penduduk yang bekerja terhadap angkatan kerja mencapai 93,21 persen.  </w:t>
      </w:r>
      <w:r w:rsidR="00AD5C8A" w:rsidRPr="002146BF">
        <w:rPr>
          <w:rFonts w:ascii="Century Gothic" w:hAnsi="Century Gothic"/>
          <w:color w:val="000000"/>
          <w:sz w:val="20"/>
          <w:szCs w:val="20"/>
          <w:shd w:val="clear" w:color="auto" w:fill="FFFFFF"/>
          <w:lang w:val="id-ID"/>
        </w:rPr>
        <w:t>Pada tahun 201</w:t>
      </w:r>
      <w:r w:rsidR="00993625">
        <w:rPr>
          <w:rFonts w:ascii="Century Gothic" w:hAnsi="Century Gothic"/>
          <w:color w:val="000000"/>
          <w:sz w:val="20"/>
          <w:szCs w:val="20"/>
          <w:shd w:val="clear" w:color="auto" w:fill="FFFFFF"/>
        </w:rPr>
        <w:t>4</w:t>
      </w:r>
      <w:r w:rsidR="00AD5C8A" w:rsidRPr="002146BF">
        <w:rPr>
          <w:rFonts w:ascii="Century Gothic" w:hAnsi="Century Gothic"/>
          <w:color w:val="000000"/>
          <w:sz w:val="20"/>
          <w:szCs w:val="20"/>
          <w:shd w:val="clear" w:color="auto" w:fill="FFFFFF"/>
          <w:lang w:val="id-ID"/>
        </w:rPr>
        <w:t xml:space="preserve"> tingkat pengangguran terbuka Kota Baubau sebesar </w:t>
      </w:r>
      <w:r w:rsidR="00993625">
        <w:rPr>
          <w:rFonts w:ascii="Century Gothic" w:hAnsi="Century Gothic"/>
          <w:color w:val="000000"/>
          <w:sz w:val="20"/>
          <w:szCs w:val="20"/>
          <w:shd w:val="clear" w:color="auto" w:fill="FFFFFF"/>
        </w:rPr>
        <w:t>6,79</w:t>
      </w:r>
      <w:r w:rsidR="00AD5C8A" w:rsidRPr="002146BF">
        <w:rPr>
          <w:rFonts w:ascii="Century Gothic" w:hAnsi="Century Gothic"/>
          <w:color w:val="000000"/>
          <w:sz w:val="20"/>
          <w:szCs w:val="20"/>
          <w:shd w:val="clear" w:color="auto" w:fill="FFFFFF"/>
          <w:lang w:val="id-ID"/>
        </w:rPr>
        <w:t xml:space="preserve">% atau </w:t>
      </w:r>
      <w:r w:rsidR="00993625">
        <w:rPr>
          <w:rFonts w:ascii="Century Gothic" w:hAnsi="Century Gothic"/>
          <w:color w:val="000000"/>
          <w:sz w:val="20"/>
          <w:szCs w:val="20"/>
          <w:shd w:val="clear" w:color="auto" w:fill="FFFFFF"/>
        </w:rPr>
        <w:t>menurun</w:t>
      </w:r>
      <w:r w:rsidR="00AD5C8A" w:rsidRPr="002146BF">
        <w:rPr>
          <w:rFonts w:ascii="Century Gothic" w:hAnsi="Century Gothic"/>
          <w:color w:val="000000"/>
          <w:sz w:val="20"/>
          <w:szCs w:val="20"/>
          <w:shd w:val="clear" w:color="auto" w:fill="FFFFFF"/>
          <w:lang w:val="id-ID"/>
        </w:rPr>
        <w:t xml:space="preserve"> sebesar </w:t>
      </w:r>
      <w:r w:rsidR="00993625">
        <w:rPr>
          <w:rFonts w:ascii="Century Gothic" w:hAnsi="Century Gothic"/>
          <w:color w:val="000000"/>
          <w:sz w:val="20"/>
          <w:szCs w:val="20"/>
          <w:shd w:val="clear" w:color="auto" w:fill="FFFFFF"/>
        </w:rPr>
        <w:t>1,87</w:t>
      </w:r>
      <w:r w:rsidR="00AD5C8A" w:rsidRPr="002146BF">
        <w:rPr>
          <w:rFonts w:ascii="Century Gothic" w:hAnsi="Century Gothic"/>
          <w:color w:val="000000"/>
          <w:sz w:val="20"/>
          <w:szCs w:val="20"/>
          <w:shd w:val="clear" w:color="auto" w:fill="FFFFFF"/>
          <w:lang w:val="id-ID"/>
        </w:rPr>
        <w:t xml:space="preserve"> point dari tahun 201</w:t>
      </w:r>
      <w:r w:rsidR="00AD5C8A" w:rsidRPr="002146BF">
        <w:rPr>
          <w:rFonts w:ascii="Century Gothic" w:hAnsi="Century Gothic"/>
          <w:color w:val="000000"/>
          <w:sz w:val="20"/>
          <w:szCs w:val="20"/>
          <w:shd w:val="clear" w:color="auto" w:fill="FFFFFF"/>
        </w:rPr>
        <w:t>3</w:t>
      </w:r>
      <w:r w:rsidR="00AD5C8A" w:rsidRPr="002146BF">
        <w:rPr>
          <w:rFonts w:ascii="Century Gothic" w:hAnsi="Century Gothic"/>
          <w:color w:val="000000"/>
          <w:sz w:val="20"/>
          <w:szCs w:val="20"/>
          <w:shd w:val="clear" w:color="auto" w:fill="FFFFFF"/>
          <w:lang w:val="id-ID"/>
        </w:rPr>
        <w:t xml:space="preserve"> yang mencapai </w:t>
      </w:r>
      <w:r w:rsidR="00AD5C8A" w:rsidRPr="002146BF">
        <w:rPr>
          <w:rFonts w:ascii="Century Gothic" w:hAnsi="Century Gothic"/>
          <w:color w:val="000000"/>
          <w:sz w:val="20"/>
          <w:szCs w:val="20"/>
          <w:shd w:val="clear" w:color="auto" w:fill="FFFFFF"/>
        </w:rPr>
        <w:t>8,58%</w:t>
      </w:r>
      <w:r w:rsidR="00993625">
        <w:rPr>
          <w:rFonts w:ascii="Century Gothic" w:hAnsi="Century Gothic"/>
          <w:color w:val="000000"/>
          <w:sz w:val="20"/>
          <w:szCs w:val="20"/>
          <w:shd w:val="clear" w:color="auto" w:fill="FFFFFF"/>
        </w:rPr>
        <w:t xml:space="preserve">, pada tahun 2015 TPT Kota Baubau diproyeksikan akan meningkat menjadi 7,12% </w:t>
      </w:r>
      <w:r w:rsidR="00AD5C8A" w:rsidRPr="002146BF">
        <w:rPr>
          <w:rFonts w:ascii="Century Gothic" w:hAnsi="Century Gothic"/>
          <w:color w:val="000000"/>
          <w:sz w:val="20"/>
          <w:szCs w:val="20"/>
          <w:shd w:val="clear" w:color="auto" w:fill="FFFFFF"/>
        </w:rPr>
        <w:t xml:space="preserve"> </w:t>
      </w:r>
    </w:p>
    <w:p w:rsidR="00993625" w:rsidRDefault="006550EE" w:rsidP="00993625">
      <w:pPr>
        <w:pStyle w:val="ListParagraph"/>
        <w:tabs>
          <w:tab w:val="left" w:pos="993"/>
        </w:tabs>
        <w:ind w:left="0"/>
        <w:jc w:val="center"/>
        <w:rPr>
          <w:rFonts w:ascii="Century Gothic" w:hAnsi="Century Gothic"/>
          <w:b/>
          <w:sz w:val="20"/>
          <w:szCs w:val="20"/>
        </w:rPr>
      </w:pPr>
      <w:r>
        <w:rPr>
          <w:rFonts w:ascii="Century Gothic" w:hAnsi="Century Gothic"/>
          <w:b/>
          <w:sz w:val="20"/>
          <w:szCs w:val="20"/>
        </w:rPr>
        <w:t>Gambar 3.4</w:t>
      </w:r>
    </w:p>
    <w:p w:rsidR="00993625" w:rsidRDefault="00993625" w:rsidP="00993625">
      <w:pPr>
        <w:pStyle w:val="ListParagraph"/>
        <w:tabs>
          <w:tab w:val="left" w:pos="993"/>
        </w:tabs>
        <w:ind w:left="0"/>
        <w:jc w:val="center"/>
        <w:rPr>
          <w:rFonts w:ascii="Century Gothic" w:hAnsi="Century Gothic"/>
          <w:b/>
          <w:sz w:val="20"/>
          <w:szCs w:val="20"/>
        </w:rPr>
      </w:pPr>
      <w:r>
        <w:rPr>
          <w:rFonts w:ascii="Century Gothic" w:hAnsi="Century Gothic"/>
          <w:b/>
          <w:sz w:val="20"/>
          <w:szCs w:val="20"/>
        </w:rPr>
        <w:t>Perkembangan Tingkat Pengangguran Terbuka Kota Baubau</w:t>
      </w:r>
    </w:p>
    <w:p w:rsidR="00993625" w:rsidRDefault="00993625" w:rsidP="00993625">
      <w:pPr>
        <w:pStyle w:val="ListParagraph"/>
        <w:tabs>
          <w:tab w:val="left" w:pos="993"/>
        </w:tabs>
        <w:ind w:left="0"/>
        <w:jc w:val="center"/>
        <w:rPr>
          <w:rFonts w:ascii="Century Gothic" w:hAnsi="Century Gothic"/>
          <w:i/>
          <w:sz w:val="16"/>
        </w:rPr>
      </w:pPr>
      <w:r>
        <w:rPr>
          <w:noProof/>
        </w:rPr>
        <w:drawing>
          <wp:inline distT="0" distB="0" distL="0" distR="0" wp14:anchorId="7FE350EA" wp14:editId="4EA41F30">
            <wp:extent cx="5181600" cy="1608083"/>
            <wp:effectExtent l="0" t="0" r="19050" b="1143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D5C8A" w:rsidRPr="002146BF" w:rsidRDefault="00993625" w:rsidP="00AD5C8A">
      <w:pPr>
        <w:shd w:val="clear" w:color="auto" w:fill="FFFFFF"/>
        <w:spacing w:after="0" w:line="240" w:lineRule="auto"/>
        <w:textAlignment w:val="baseline"/>
        <w:rPr>
          <w:rFonts w:ascii="Century Gothic" w:hAnsi="Century Gothic" w:cs="Tahoma"/>
          <w:b/>
          <w:bCs/>
          <w:sz w:val="20"/>
          <w:szCs w:val="20"/>
        </w:rPr>
      </w:pPr>
      <w:r>
        <w:rPr>
          <w:rFonts w:ascii="Century Gothic" w:hAnsi="Century Gothic"/>
          <w:i/>
          <w:sz w:val="18"/>
        </w:rPr>
        <w:t xml:space="preserve">  </w:t>
      </w:r>
      <w:r w:rsidR="00AD5C8A" w:rsidRPr="002146BF">
        <w:rPr>
          <w:rFonts w:ascii="Century Gothic" w:hAnsi="Century Gothic"/>
          <w:i/>
          <w:sz w:val="18"/>
        </w:rPr>
        <w:t>Sumber; Baubau Dalam Angka 2015(Diolah)</w:t>
      </w:r>
    </w:p>
    <w:p w:rsidR="00AD5C8A" w:rsidRPr="002146BF" w:rsidRDefault="00AD5C8A" w:rsidP="00AD5C8A">
      <w:pPr>
        <w:spacing w:after="0" w:line="240" w:lineRule="auto"/>
        <w:rPr>
          <w:rFonts w:ascii="Century Gothic" w:hAnsi="Century Gothic"/>
          <w:sz w:val="18"/>
          <w:szCs w:val="18"/>
        </w:rPr>
      </w:pPr>
    </w:p>
    <w:p w:rsidR="00AD5C8A" w:rsidRPr="002146BF" w:rsidRDefault="00AD5C8A" w:rsidP="00993625">
      <w:pPr>
        <w:spacing w:after="0" w:line="360" w:lineRule="auto"/>
        <w:jc w:val="both"/>
        <w:rPr>
          <w:rFonts w:ascii="Century Gothic" w:hAnsi="Century Gothic"/>
          <w:sz w:val="20"/>
          <w:szCs w:val="20"/>
        </w:rPr>
      </w:pPr>
      <w:r w:rsidRPr="002146BF">
        <w:rPr>
          <w:rFonts w:ascii="Century Gothic" w:hAnsi="Century Gothic"/>
          <w:sz w:val="20"/>
          <w:szCs w:val="20"/>
        </w:rPr>
        <w:t>Dalam kaitannya dengan tingkat pertumbuhan ekonomi, Secara total, selama kurun waktu 2003-2013, korelasi antara tingkat pengunggaran terbuka dengan pertumbuhan ekonomi sebesar -0</w:t>
      </w:r>
      <w:proofErr w:type="gramStart"/>
      <w:r w:rsidRPr="002146BF">
        <w:rPr>
          <w:rFonts w:ascii="Century Gothic" w:hAnsi="Century Gothic"/>
          <w:sz w:val="20"/>
          <w:szCs w:val="20"/>
        </w:rPr>
        <w:t>,1380</w:t>
      </w:r>
      <w:proofErr w:type="gramEnd"/>
      <w:r w:rsidRPr="002146BF">
        <w:rPr>
          <w:rFonts w:ascii="Century Gothic" w:hAnsi="Century Gothic"/>
          <w:sz w:val="20"/>
          <w:szCs w:val="20"/>
        </w:rPr>
        <w:t xml:space="preserve">. Dengan kata </w:t>
      </w:r>
      <w:proofErr w:type="gramStart"/>
      <w:r w:rsidRPr="002146BF">
        <w:rPr>
          <w:rFonts w:ascii="Century Gothic" w:hAnsi="Century Gothic"/>
          <w:sz w:val="20"/>
          <w:szCs w:val="20"/>
        </w:rPr>
        <w:t>lain</w:t>
      </w:r>
      <w:proofErr w:type="gramEnd"/>
      <w:r w:rsidRPr="002146BF">
        <w:rPr>
          <w:rFonts w:ascii="Century Gothic" w:hAnsi="Century Gothic"/>
          <w:sz w:val="20"/>
          <w:szCs w:val="20"/>
        </w:rPr>
        <w:t>, selama kurun waktu 2003-2013, tingkat pertumbuhan ekonomi yang dicapai oleh Kota Baubau tidak erat kaitannya dengan tingkat pengangguran terbuka.</w:t>
      </w:r>
      <w:r w:rsidR="00993625">
        <w:rPr>
          <w:rFonts w:ascii="Century Gothic" w:hAnsi="Century Gothic"/>
          <w:sz w:val="20"/>
          <w:szCs w:val="20"/>
        </w:rPr>
        <w:t xml:space="preserve">  S</w:t>
      </w:r>
      <w:r w:rsidRPr="002146BF">
        <w:rPr>
          <w:rFonts w:ascii="Century Gothic" w:hAnsi="Century Gothic"/>
          <w:sz w:val="20"/>
          <w:szCs w:val="20"/>
        </w:rPr>
        <w:t xml:space="preserve">elama 5 (lima) tahun kedua pelaksanaan </w:t>
      </w:r>
      <w:r w:rsidRPr="002146BF">
        <w:rPr>
          <w:rFonts w:ascii="Century Gothic" w:hAnsi="Century Gothic"/>
          <w:sz w:val="20"/>
          <w:szCs w:val="20"/>
        </w:rPr>
        <w:lastRenderedPageBreak/>
        <w:t>pembangunan jangka menengah Kota Baubau (2009-2013), laju pertumbuhan ekonomi Kota Baubau tidak responsive atau tidak elastik dalam penciptaan lapangan kerja baru yang dibuktikan dengan nilai elastisitas penyerapan tenaga kerja di bawah satu, yaitu hanya 0,29% (</w:t>
      </w:r>
      <w:r w:rsidRPr="002146BF">
        <w:rPr>
          <w:rFonts w:ascii="Century Gothic" w:hAnsi="Century Gothic"/>
          <w:sz w:val="20"/>
          <w:szCs w:val="20"/>
        </w:rPr>
        <w:sym w:font="Symbol" w:char="F065"/>
      </w:r>
      <w:r w:rsidRPr="002146BF">
        <w:rPr>
          <w:rFonts w:ascii="Century Gothic" w:hAnsi="Century Gothic"/>
          <w:sz w:val="20"/>
          <w:szCs w:val="20"/>
          <w:vertAlign w:val="subscript"/>
        </w:rPr>
        <w:t>TK</w:t>
      </w:r>
      <w:r w:rsidRPr="002146BF">
        <w:rPr>
          <w:rFonts w:ascii="Century Gothic" w:hAnsi="Century Gothic"/>
          <w:sz w:val="20"/>
          <w:szCs w:val="20"/>
        </w:rPr>
        <w:t xml:space="preserve">&lt; 1). Bahkan, dalam kurun waktu 2011-2012, daya serap atau kesempatan kerja baru yang tercipta menurun, yaitu masing-masing sebanyak 684 tenaga kerja dan 4.001 tenaga kerja. Meskipun demikian, dengan rata-rata pertumbuhan ekonomi sebesar 9,26% per tahun (2008-2012), kesempatan kerja baru yang tercipta adalah sebanyak 1.380 tenaga kerja atau 149 tenaga kerja setiap ada </w:t>
      </w:r>
      <w:r w:rsidR="00993625">
        <w:rPr>
          <w:rFonts w:ascii="Century Gothic" w:hAnsi="Century Gothic"/>
          <w:sz w:val="20"/>
          <w:szCs w:val="20"/>
        </w:rPr>
        <w:t>kenaikan pertumbuhan sebesar 1%</w:t>
      </w:r>
      <w:r w:rsidRPr="002146BF">
        <w:rPr>
          <w:rFonts w:ascii="Century Gothic" w:hAnsi="Century Gothic"/>
          <w:sz w:val="20"/>
          <w:szCs w:val="20"/>
        </w:rPr>
        <w:t>.  Pada sisi lain, tahun 2013 dengan nilai elastisitas penyerapan tenaga kerja sebesar 0,31% (</w:t>
      </w:r>
      <w:r w:rsidRPr="002146BF">
        <w:rPr>
          <w:rFonts w:ascii="Century Gothic" w:hAnsi="Century Gothic"/>
          <w:sz w:val="20"/>
          <w:szCs w:val="20"/>
        </w:rPr>
        <w:sym w:font="Symbol" w:char="F065"/>
      </w:r>
      <w:r w:rsidRPr="002146BF">
        <w:rPr>
          <w:rFonts w:ascii="Century Gothic" w:hAnsi="Century Gothic"/>
          <w:sz w:val="20"/>
          <w:szCs w:val="20"/>
          <w:vertAlign w:val="subscript"/>
        </w:rPr>
        <w:t>TK</w:t>
      </w:r>
      <w:r w:rsidRPr="002146BF">
        <w:rPr>
          <w:rFonts w:ascii="Century Gothic" w:hAnsi="Century Gothic"/>
          <w:sz w:val="20"/>
          <w:szCs w:val="20"/>
        </w:rPr>
        <w:t xml:space="preserve"> = 0,31%) dan pertumbuhan sebesar 8,78%, tenaga kerja yang terserap di pasar kerja adalah 1.371 tenaga kerja atau 156 tenaga </w:t>
      </w:r>
      <w:r w:rsidR="00993625" w:rsidRPr="002146BF">
        <w:rPr>
          <w:rFonts w:ascii="Century Gothic" w:hAnsi="Century Gothic"/>
          <w:noProof/>
          <w:sz w:val="20"/>
          <w:szCs w:val="20"/>
        </w:rPr>
        <w:drawing>
          <wp:anchor distT="0" distB="0" distL="114300" distR="114300" simplePos="0" relativeHeight="251689984" behindDoc="0" locked="0" layoutInCell="1" allowOverlap="1" wp14:anchorId="04453DE8" wp14:editId="6F64A22E">
            <wp:simplePos x="0" y="0"/>
            <wp:positionH relativeFrom="column">
              <wp:posOffset>368935</wp:posOffset>
            </wp:positionH>
            <wp:positionV relativeFrom="paragraph">
              <wp:posOffset>2879725</wp:posOffset>
            </wp:positionV>
            <wp:extent cx="4780280" cy="1778635"/>
            <wp:effectExtent l="0" t="0" r="1270" b="0"/>
            <wp:wrapTopAndBottom/>
            <wp:docPr id="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0280" cy="1778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46BF">
        <w:rPr>
          <w:rFonts w:ascii="Century Gothic" w:hAnsi="Century Gothic"/>
          <w:sz w:val="20"/>
          <w:szCs w:val="20"/>
        </w:rPr>
        <w:t xml:space="preserve">kerja setiap ada kenaikan pertumbuhan sebesar 1% </w:t>
      </w:r>
    </w:p>
    <w:p w:rsidR="00AD5C8A" w:rsidRPr="002146BF" w:rsidRDefault="006550EE" w:rsidP="00993625">
      <w:pPr>
        <w:spacing w:after="0" w:line="240" w:lineRule="auto"/>
        <w:jc w:val="center"/>
        <w:rPr>
          <w:rFonts w:ascii="Century Gothic" w:hAnsi="Century Gothic"/>
          <w:b/>
          <w:sz w:val="20"/>
          <w:szCs w:val="20"/>
        </w:rPr>
      </w:pPr>
      <w:r>
        <w:rPr>
          <w:rFonts w:ascii="Century Gothic" w:hAnsi="Century Gothic"/>
          <w:b/>
          <w:sz w:val="20"/>
          <w:szCs w:val="20"/>
        </w:rPr>
        <w:t>Gambar 3.5</w:t>
      </w:r>
    </w:p>
    <w:p w:rsidR="00AD5C8A" w:rsidRPr="002146BF" w:rsidRDefault="00AD5C8A" w:rsidP="00993625">
      <w:pPr>
        <w:spacing w:after="0" w:line="240" w:lineRule="auto"/>
        <w:jc w:val="center"/>
        <w:rPr>
          <w:rFonts w:ascii="Century Gothic" w:hAnsi="Century Gothic"/>
          <w:sz w:val="18"/>
          <w:szCs w:val="18"/>
        </w:rPr>
      </w:pPr>
      <w:r w:rsidRPr="002146BF">
        <w:rPr>
          <w:rFonts w:ascii="Century Gothic" w:hAnsi="Century Gothic"/>
          <w:sz w:val="18"/>
          <w:szCs w:val="18"/>
        </w:rPr>
        <w:t>Hubungan Tingkat Pengangguran Terbuka dan Pertumbuhan Ekonomi</w:t>
      </w:r>
    </w:p>
    <w:p w:rsidR="00AD5C8A" w:rsidRPr="002146BF" w:rsidRDefault="00AD5C8A" w:rsidP="00993625">
      <w:pPr>
        <w:spacing w:after="0" w:line="240" w:lineRule="auto"/>
        <w:jc w:val="center"/>
        <w:rPr>
          <w:rFonts w:ascii="Century Gothic" w:hAnsi="Century Gothic"/>
          <w:sz w:val="20"/>
        </w:rPr>
      </w:pPr>
      <w:r w:rsidRPr="002146BF">
        <w:rPr>
          <w:rFonts w:ascii="Century Gothic" w:hAnsi="Century Gothic"/>
          <w:sz w:val="18"/>
          <w:szCs w:val="18"/>
        </w:rPr>
        <w:t>Kota Baubau, 2003-2013</w:t>
      </w:r>
    </w:p>
    <w:p w:rsidR="00AD5C8A" w:rsidRPr="002146BF" w:rsidRDefault="00AD5C8A" w:rsidP="00AD5C8A">
      <w:pPr>
        <w:spacing w:after="0" w:line="240" w:lineRule="auto"/>
        <w:ind w:left="1202" w:hanging="1202"/>
        <w:jc w:val="center"/>
        <w:rPr>
          <w:rFonts w:ascii="Century Gothic" w:hAnsi="Century Gothic" w:cstheme="minorHAnsi"/>
          <w:b/>
          <w:sz w:val="20"/>
          <w:szCs w:val="20"/>
        </w:rPr>
      </w:pPr>
    </w:p>
    <w:p w:rsidR="00AD5C8A" w:rsidRDefault="00AD5C8A" w:rsidP="00AD5C8A">
      <w:pPr>
        <w:spacing w:line="360" w:lineRule="auto"/>
        <w:contextualSpacing/>
        <w:jc w:val="both"/>
        <w:rPr>
          <w:rFonts w:ascii="Century Gothic" w:hAnsi="Century Gothic" w:cs="Tahoma"/>
          <w:sz w:val="20"/>
          <w:szCs w:val="20"/>
        </w:rPr>
      </w:pPr>
      <w:proofErr w:type="gramStart"/>
      <w:r w:rsidRPr="00FB1A3A">
        <w:rPr>
          <w:rFonts w:ascii="Century Gothic" w:hAnsi="Century Gothic"/>
          <w:b/>
          <w:smallCaps/>
          <w:color w:val="FFFFFF" w:themeColor="background1"/>
          <w:spacing w:val="20"/>
          <w:sz w:val="24"/>
          <w:szCs w:val="24"/>
          <w:highlight w:val="black"/>
        </w:rPr>
        <w:t>Angka Kemiskinan</w:t>
      </w:r>
      <w:r w:rsidRPr="002146BF">
        <w:rPr>
          <w:rFonts w:ascii="Century Gothic" w:hAnsi="Century Gothic"/>
          <w:b/>
          <w:sz w:val="20"/>
          <w:szCs w:val="20"/>
        </w:rPr>
        <w:t xml:space="preserve"> </w:t>
      </w:r>
      <w:r w:rsidRPr="002146BF">
        <w:rPr>
          <w:rFonts w:ascii="Century Gothic" w:hAnsi="Century Gothic" w:cs="Tahoma"/>
          <w:sz w:val="20"/>
          <w:szCs w:val="20"/>
        </w:rPr>
        <w:t>Jumlah penduduk miskin di Kota Baubau dari tahun ke tahun menunjukkan</w:t>
      </w:r>
      <w:r w:rsidR="00FB1A3A">
        <w:rPr>
          <w:rFonts w:ascii="Century Gothic" w:hAnsi="Century Gothic" w:cs="Tahoma"/>
          <w:sz w:val="20"/>
          <w:szCs w:val="20"/>
        </w:rPr>
        <w:t xml:space="preserve"> kecenderungan menurun</w:t>
      </w:r>
      <w:r w:rsidRPr="002146BF">
        <w:rPr>
          <w:rFonts w:ascii="Century Gothic" w:hAnsi="Century Gothic" w:cs="Tahoma"/>
          <w:sz w:val="20"/>
          <w:szCs w:val="20"/>
        </w:rPr>
        <w:t>, hal ini mengindikasikan bahwa tingkat kesejahteraan penduduk semakin membaik setiap tahunnya.</w:t>
      </w:r>
      <w:proofErr w:type="gramEnd"/>
      <w:r w:rsidR="00993625">
        <w:rPr>
          <w:rFonts w:ascii="Century Gothic" w:hAnsi="Century Gothic" w:cs="Tahoma"/>
          <w:sz w:val="20"/>
          <w:szCs w:val="20"/>
        </w:rPr>
        <w:t xml:space="preserve"> </w:t>
      </w:r>
      <w:proofErr w:type="gramStart"/>
      <w:r w:rsidR="00FB1A3A">
        <w:rPr>
          <w:rFonts w:ascii="Century Gothic" w:hAnsi="Century Gothic" w:cs="Tahoma"/>
          <w:sz w:val="20"/>
          <w:szCs w:val="20"/>
        </w:rPr>
        <w:t>J</w:t>
      </w:r>
      <w:r w:rsidRPr="002146BF">
        <w:rPr>
          <w:rFonts w:ascii="Century Gothic" w:hAnsi="Century Gothic" w:cs="Tahoma"/>
          <w:sz w:val="20"/>
          <w:szCs w:val="20"/>
        </w:rPr>
        <w:t>umlah penduduk miskin jika dibandingkan dengan laju pertambahan penduduk mengalami penurunan.</w:t>
      </w:r>
      <w:proofErr w:type="gramEnd"/>
      <w:r w:rsidRPr="002146BF">
        <w:rPr>
          <w:rFonts w:ascii="Century Gothic" w:hAnsi="Century Gothic" w:cs="Tahoma"/>
          <w:sz w:val="20"/>
          <w:szCs w:val="20"/>
        </w:rPr>
        <w:t xml:space="preserve"> Tahun 2010 persentase jumlah penduduk miskin sebesar 12,06% dari jumlah total penduduk, mengalami penurunan pada tahun 2013 menjadi hanya 10.11%</w:t>
      </w:r>
      <w:r w:rsidR="00FB1A3A">
        <w:rPr>
          <w:rFonts w:ascii="Century Gothic" w:hAnsi="Century Gothic" w:cs="Tahoma"/>
          <w:sz w:val="20"/>
          <w:szCs w:val="20"/>
        </w:rPr>
        <w:t>, pada tahun 2014 dan 2015 diproyesikan jumlah penduduk miskin masih berkisar pada angka 10% yakni 10,57% pada tahun 2014 dan 10,89% atau 16.806 jiwa di tahun 2015</w:t>
      </w:r>
      <w:r w:rsidRPr="002146BF">
        <w:rPr>
          <w:rFonts w:ascii="Century Gothic" w:hAnsi="Century Gothic" w:cs="Tahoma"/>
          <w:sz w:val="20"/>
          <w:szCs w:val="20"/>
        </w:rPr>
        <w:t xml:space="preserve">. </w:t>
      </w:r>
      <w:proofErr w:type="gramStart"/>
      <w:r w:rsidRPr="002146BF">
        <w:rPr>
          <w:rFonts w:ascii="Century Gothic" w:hAnsi="Century Gothic" w:cs="Tahoma"/>
          <w:sz w:val="20"/>
          <w:szCs w:val="20"/>
        </w:rPr>
        <w:t>Membaiknya tingkat kesejahteraan masyarakat dan penurunan persentase kemisikinan dalam hal ini tidak terlepas dari peran pemerintah yang signifikan menciptakan peluang-peluang ekonomi bagi masyarakat, selain itu upaya penanggulangan kemiskinan yang telah dilaksanakan oleh berbagai pihak dalam beberapa tahun terakhir turut memberi andil menciptakan kondisi ini.</w:t>
      </w:r>
      <w:proofErr w:type="gramEnd"/>
    </w:p>
    <w:p w:rsidR="00FB1A3A" w:rsidRDefault="00FB1A3A" w:rsidP="00AD5C8A">
      <w:pPr>
        <w:spacing w:line="360" w:lineRule="auto"/>
        <w:contextualSpacing/>
        <w:jc w:val="both"/>
        <w:rPr>
          <w:rFonts w:ascii="Century Gothic" w:hAnsi="Century Gothic" w:cs="Tahoma"/>
          <w:sz w:val="20"/>
          <w:szCs w:val="20"/>
        </w:rPr>
      </w:pPr>
    </w:p>
    <w:p w:rsidR="00AD5C8A" w:rsidRPr="002146BF" w:rsidRDefault="00AD5C8A" w:rsidP="00FB1A3A">
      <w:pPr>
        <w:spacing w:line="360" w:lineRule="auto"/>
        <w:contextualSpacing/>
        <w:jc w:val="both"/>
        <w:rPr>
          <w:rFonts w:ascii="Century Gothic" w:hAnsi="Century Gothic" w:cstheme="minorHAnsi"/>
          <w:sz w:val="20"/>
          <w:szCs w:val="20"/>
        </w:rPr>
      </w:pPr>
      <w:r w:rsidRPr="00FB1A3A">
        <w:rPr>
          <w:rFonts w:ascii="Century Gothic" w:hAnsi="Century Gothic"/>
          <w:b/>
          <w:smallCaps/>
          <w:color w:val="FFFFFF" w:themeColor="background1"/>
          <w:spacing w:val="20"/>
          <w:sz w:val="24"/>
          <w:szCs w:val="24"/>
          <w:highlight w:val="black"/>
        </w:rPr>
        <w:lastRenderedPageBreak/>
        <w:t>Indeks pembangunan manusia.</w:t>
      </w:r>
      <w:r w:rsidRPr="002146BF">
        <w:rPr>
          <w:rFonts w:ascii="Century Gothic" w:hAnsi="Century Gothic"/>
          <w:b/>
          <w:sz w:val="20"/>
          <w:szCs w:val="20"/>
        </w:rPr>
        <w:t xml:space="preserve"> </w:t>
      </w:r>
      <w:proofErr w:type="gramStart"/>
      <w:r w:rsidR="00FB1A3A" w:rsidRPr="00FB1A3A">
        <w:rPr>
          <w:rFonts w:ascii="Century Gothic" w:hAnsi="Century Gothic"/>
          <w:sz w:val="20"/>
          <w:szCs w:val="20"/>
        </w:rPr>
        <w:t>K</w:t>
      </w:r>
      <w:r w:rsidRPr="002146BF">
        <w:rPr>
          <w:rFonts w:ascii="Century Gothic" w:hAnsi="Century Gothic" w:cstheme="minorHAnsi"/>
          <w:sz w:val="20"/>
          <w:szCs w:val="20"/>
        </w:rPr>
        <w:t>ondisi capaian beberapa indikator pembentuk indeks Pembangunan Manusia Kota Baubau dan Perbandingan angka IPM Propinsi Sulawesi Tenggara dan N</w:t>
      </w:r>
      <w:r w:rsidR="00C726C9">
        <w:rPr>
          <w:rFonts w:ascii="Century Gothic" w:hAnsi="Century Gothic" w:cstheme="minorHAnsi"/>
          <w:sz w:val="20"/>
          <w:szCs w:val="20"/>
        </w:rPr>
        <w:t>asional diuraikan pada tabel 2.76</w:t>
      </w:r>
      <w:r w:rsidRPr="002146BF">
        <w:rPr>
          <w:rFonts w:ascii="Century Gothic" w:hAnsi="Century Gothic" w:cstheme="minorHAnsi"/>
          <w:sz w:val="20"/>
          <w:szCs w:val="20"/>
        </w:rPr>
        <w:t>.</w:t>
      </w:r>
      <w:proofErr w:type="gramEnd"/>
      <w:r w:rsidRPr="002146BF">
        <w:rPr>
          <w:rFonts w:ascii="Century Gothic" w:hAnsi="Century Gothic" w:cstheme="minorHAnsi"/>
          <w:sz w:val="20"/>
          <w:szCs w:val="20"/>
        </w:rPr>
        <w:t xml:space="preserve"> Indeks Pembangunan Manusia (IPM) di Kota Baubau juga mengalami peningkatan yang cukup signifikan dari </w:t>
      </w:r>
      <w:r w:rsidR="00C726C9">
        <w:rPr>
          <w:rFonts w:ascii="Century Gothic" w:hAnsi="Century Gothic" w:cstheme="minorHAnsi"/>
          <w:sz w:val="20"/>
          <w:szCs w:val="20"/>
        </w:rPr>
        <w:t>70,60</w:t>
      </w:r>
      <w:r w:rsidRPr="002146BF">
        <w:rPr>
          <w:rFonts w:ascii="Century Gothic" w:hAnsi="Century Gothic" w:cstheme="minorHAnsi"/>
          <w:sz w:val="20"/>
          <w:szCs w:val="20"/>
        </w:rPr>
        <w:t xml:space="preserve"> </w:t>
      </w:r>
      <w:r w:rsidR="00C726C9">
        <w:rPr>
          <w:rFonts w:ascii="Century Gothic" w:hAnsi="Century Gothic" w:cstheme="minorHAnsi"/>
          <w:sz w:val="20"/>
          <w:szCs w:val="20"/>
        </w:rPr>
        <w:t xml:space="preserve">pada </w:t>
      </w:r>
      <w:r w:rsidRPr="002146BF">
        <w:rPr>
          <w:rFonts w:ascii="Century Gothic" w:hAnsi="Century Gothic" w:cstheme="minorHAnsi"/>
          <w:sz w:val="20"/>
          <w:szCs w:val="20"/>
        </w:rPr>
        <w:t>tahun 20</w:t>
      </w:r>
      <w:r w:rsidR="00C726C9">
        <w:rPr>
          <w:rFonts w:ascii="Century Gothic" w:hAnsi="Century Gothic" w:cstheme="minorHAnsi"/>
          <w:sz w:val="20"/>
          <w:szCs w:val="20"/>
        </w:rPr>
        <w:t>1</w:t>
      </w:r>
      <w:r w:rsidRPr="002146BF">
        <w:rPr>
          <w:rFonts w:ascii="Century Gothic" w:hAnsi="Century Gothic" w:cstheme="minorHAnsi"/>
          <w:sz w:val="20"/>
          <w:szCs w:val="20"/>
        </w:rPr>
        <w:t xml:space="preserve">0 menjadi </w:t>
      </w:r>
      <w:r w:rsidR="00C726C9">
        <w:rPr>
          <w:rFonts w:ascii="Century Gothic" w:hAnsi="Century Gothic" w:cstheme="minorHAnsi"/>
          <w:sz w:val="20"/>
          <w:szCs w:val="20"/>
        </w:rPr>
        <w:t>73,13</w:t>
      </w:r>
      <w:r w:rsidRPr="002146BF">
        <w:rPr>
          <w:rFonts w:ascii="Century Gothic" w:hAnsi="Century Gothic" w:cstheme="minorHAnsi"/>
          <w:sz w:val="20"/>
          <w:szCs w:val="20"/>
        </w:rPr>
        <w:t xml:space="preserve"> pada tahun 201</w:t>
      </w:r>
      <w:r w:rsidR="00C726C9">
        <w:rPr>
          <w:rFonts w:ascii="Century Gothic" w:hAnsi="Century Gothic" w:cstheme="minorHAnsi"/>
          <w:sz w:val="20"/>
          <w:szCs w:val="20"/>
        </w:rPr>
        <w:t>4</w:t>
      </w:r>
      <w:r w:rsidRPr="002146BF">
        <w:rPr>
          <w:rFonts w:ascii="Century Gothic" w:hAnsi="Century Gothic" w:cstheme="minorHAnsi"/>
          <w:sz w:val="20"/>
          <w:szCs w:val="20"/>
        </w:rPr>
        <w:t xml:space="preserve">. Capaian ini lebih tinggi jika dibandingkan dengan IPM Sultra (71,55) dan IPM Nasional (73,89). </w:t>
      </w:r>
      <w:r w:rsidR="00C726C9">
        <w:rPr>
          <w:rFonts w:ascii="Century Gothic" w:hAnsi="Century Gothic" w:cstheme="minorHAnsi"/>
          <w:sz w:val="20"/>
          <w:szCs w:val="20"/>
        </w:rPr>
        <w:t>Pada tahun 2015 IPM Kota Baubau ditargetkan akan meningkat menjadi 74</w:t>
      </w:r>
      <w:proofErr w:type="gramStart"/>
      <w:r w:rsidR="00C726C9">
        <w:rPr>
          <w:rFonts w:ascii="Century Gothic" w:hAnsi="Century Gothic" w:cstheme="minorHAnsi"/>
          <w:sz w:val="20"/>
          <w:szCs w:val="20"/>
        </w:rPr>
        <w:t>,9</w:t>
      </w:r>
      <w:proofErr w:type="gramEnd"/>
    </w:p>
    <w:p w:rsidR="00162626" w:rsidRPr="00912A2F" w:rsidRDefault="00162626" w:rsidP="00162626">
      <w:pPr>
        <w:autoSpaceDE w:val="0"/>
        <w:autoSpaceDN w:val="0"/>
        <w:adjustRightInd w:val="0"/>
        <w:spacing w:after="0" w:line="360" w:lineRule="auto"/>
        <w:jc w:val="both"/>
        <w:rPr>
          <w:rFonts w:ascii="Century Gothic" w:eastAsia="Times New Roman" w:hAnsi="Century Gothic" w:cs="Arial"/>
          <w:color w:val="FF0000"/>
          <w:sz w:val="20"/>
          <w:szCs w:val="20"/>
        </w:rPr>
      </w:pPr>
    </w:p>
    <w:p w:rsidR="00B43B13" w:rsidRDefault="00045C07" w:rsidP="00B93147">
      <w:pPr>
        <w:pStyle w:val="Heading3"/>
        <w:spacing w:line="276" w:lineRule="auto"/>
        <w:ind w:left="993" w:hanging="1004"/>
        <w:rPr>
          <w:rFonts w:ascii="Arial Black" w:hAnsi="Arial Black"/>
          <w:i w:val="0"/>
          <w:noProof/>
        </w:rPr>
      </w:pPr>
      <w:r w:rsidRPr="00B93147">
        <w:rPr>
          <w:rFonts w:ascii="Arial Black" w:hAnsi="Arial Black"/>
          <w:i w:val="0"/>
          <w:noProof/>
          <w:lang w:val="id-ID"/>
        </w:rPr>
        <w:t xml:space="preserve">3.1.2 </w:t>
      </w:r>
      <w:r w:rsidR="00B93147">
        <w:rPr>
          <w:rFonts w:ascii="Arial Black" w:hAnsi="Arial Black"/>
          <w:i w:val="0"/>
          <w:noProof/>
        </w:rPr>
        <w:tab/>
      </w:r>
      <w:r w:rsidR="00B43B13" w:rsidRPr="00B93147">
        <w:rPr>
          <w:rFonts w:ascii="Arial Black" w:hAnsi="Arial Black"/>
          <w:i w:val="0"/>
          <w:noProof/>
          <w:lang w:val="id-ID"/>
        </w:rPr>
        <w:t>Tantangan</w:t>
      </w:r>
      <w:r w:rsidR="00B93147" w:rsidRPr="00B93147">
        <w:rPr>
          <w:rFonts w:ascii="Arial Black" w:hAnsi="Arial Black"/>
          <w:i w:val="0"/>
          <w:noProof/>
          <w:lang w:val="id-ID"/>
        </w:rPr>
        <w:t xml:space="preserve"> dan Prospek Perekonomian </w:t>
      </w:r>
      <w:r w:rsidR="00B43B13" w:rsidRPr="00B93147">
        <w:rPr>
          <w:rFonts w:ascii="Arial Black" w:hAnsi="Arial Black"/>
          <w:i w:val="0"/>
          <w:noProof/>
          <w:lang w:val="id-ID"/>
        </w:rPr>
        <w:t xml:space="preserve">Tahun </w:t>
      </w:r>
      <w:r w:rsidRPr="00B93147">
        <w:rPr>
          <w:rFonts w:ascii="Arial Black" w:hAnsi="Arial Black"/>
          <w:i w:val="0"/>
          <w:noProof/>
        </w:rPr>
        <w:t xml:space="preserve">2016 </w:t>
      </w:r>
    </w:p>
    <w:p w:rsidR="00B43B13" w:rsidRDefault="000C667E" w:rsidP="00F8160D">
      <w:pPr>
        <w:pStyle w:val="Heading4"/>
        <w:numPr>
          <w:ilvl w:val="3"/>
          <w:numId w:val="3"/>
        </w:numPr>
        <w:spacing w:line="360" w:lineRule="auto"/>
        <w:ind w:left="993" w:hanging="1004"/>
        <w:rPr>
          <w:rFonts w:ascii="Arial Black" w:hAnsi="Arial Black"/>
          <w:i w:val="0"/>
          <w:noProof/>
          <w:sz w:val="22"/>
          <w:szCs w:val="22"/>
        </w:rPr>
      </w:pPr>
      <w:r w:rsidRPr="000C667E">
        <w:rPr>
          <w:rFonts w:ascii="Arial Black" w:hAnsi="Arial Black"/>
          <w:i w:val="0"/>
          <w:noProof/>
          <w:sz w:val="22"/>
          <w:szCs w:val="22"/>
        </w:rPr>
        <w:t>Tantangan Global dan Nasional</w:t>
      </w:r>
    </w:p>
    <w:p w:rsidR="0072330E" w:rsidRPr="00DB20AE" w:rsidRDefault="00AD407A" w:rsidP="00AD407A">
      <w:pPr>
        <w:autoSpaceDE w:val="0"/>
        <w:autoSpaceDN w:val="0"/>
        <w:adjustRightInd w:val="0"/>
        <w:spacing w:after="0" w:line="360" w:lineRule="auto"/>
        <w:ind w:firstLine="720"/>
        <w:jc w:val="both"/>
        <w:rPr>
          <w:rFonts w:ascii="Century Gothic" w:hAnsi="Century Gothic" w:cs="Cambria"/>
          <w:sz w:val="20"/>
          <w:szCs w:val="20"/>
        </w:rPr>
      </w:pPr>
      <w:r w:rsidRPr="00DB20AE">
        <w:rPr>
          <w:rFonts w:ascii="Century Gothic" w:hAnsi="Century Gothic" w:cs="Georgia"/>
          <w:sz w:val="20"/>
          <w:szCs w:val="20"/>
        </w:rPr>
        <w:t xml:space="preserve">Berdasarkan </w:t>
      </w:r>
      <w:r w:rsidRPr="00DB20AE">
        <w:rPr>
          <w:rFonts w:ascii="Century Gothic" w:hAnsi="Century Gothic" w:cs="Georgia-Italic"/>
          <w:i/>
          <w:iCs/>
          <w:sz w:val="20"/>
          <w:szCs w:val="20"/>
        </w:rPr>
        <w:t xml:space="preserve">World Economic Outlook </w:t>
      </w:r>
      <w:r w:rsidRPr="00DB20AE">
        <w:rPr>
          <w:rFonts w:ascii="Century Gothic" w:hAnsi="Century Gothic" w:cs="Georgia"/>
          <w:sz w:val="20"/>
          <w:szCs w:val="20"/>
        </w:rPr>
        <w:t xml:space="preserve">Juli 2015 yang dikeluarkan IMF, perekonomian global </w:t>
      </w:r>
      <w:r w:rsidR="00DB20AE" w:rsidRPr="00DB20AE">
        <w:rPr>
          <w:rFonts w:ascii="Century Gothic" w:hAnsi="Century Gothic"/>
          <w:sz w:val="20"/>
          <w:szCs w:val="20"/>
        </w:rPr>
        <w:t>diprediksi akan meningkat dari 3,3 persen pada 2014 menjadi 3,8 persen pada Tahun 2015</w:t>
      </w:r>
      <w:r w:rsidRPr="00DB20AE">
        <w:rPr>
          <w:rFonts w:ascii="Century Gothic" w:hAnsi="Century Gothic" w:cs="Georgia"/>
          <w:sz w:val="20"/>
          <w:szCs w:val="20"/>
        </w:rPr>
        <w:t xml:space="preserve">. </w:t>
      </w:r>
      <w:proofErr w:type="gramStart"/>
      <w:r w:rsidRPr="00DB20AE">
        <w:rPr>
          <w:rFonts w:ascii="Century Gothic" w:hAnsi="Century Gothic" w:cs="Georgia"/>
          <w:sz w:val="20"/>
          <w:szCs w:val="20"/>
        </w:rPr>
        <w:t>Pertumbuhan tersebut lebih ditopang oleh perbaikan kinerja perekonomian negara maju, sedangkan perekonomian negara berkembang masih mengalami perlambatan.</w:t>
      </w:r>
      <w:proofErr w:type="gramEnd"/>
      <w:r w:rsidRPr="00DB20AE">
        <w:rPr>
          <w:rFonts w:ascii="Century Gothic" w:hAnsi="Century Gothic" w:cs="Georgia"/>
          <w:sz w:val="20"/>
          <w:szCs w:val="20"/>
        </w:rPr>
        <w:t xml:space="preserve"> </w:t>
      </w:r>
      <w:proofErr w:type="gramStart"/>
      <w:r w:rsidRPr="00DB20AE">
        <w:rPr>
          <w:rFonts w:ascii="Century Gothic" w:hAnsi="Century Gothic" w:cs="Georgia"/>
          <w:sz w:val="20"/>
          <w:szCs w:val="20"/>
        </w:rPr>
        <w:t>Perbaikan kinerja Negara Maju tersebut, antara lain, ditopang oleh kebijakan dalam memicu konsumsi dan investasi di Amerika Serikat, perbaikan ekonomi di Eropa yang ditandai dengan perbaikan di sisi permintaan domestik dan inflasi yang mulai terjadi, serta perbaikan dalam investasi yang menopang pertumbuhan di Jepang.</w:t>
      </w:r>
      <w:proofErr w:type="gramEnd"/>
      <w:r w:rsidRPr="00DB20AE">
        <w:rPr>
          <w:rFonts w:ascii="Century Gothic" w:hAnsi="Century Gothic" w:cs="Georgia"/>
          <w:sz w:val="20"/>
          <w:szCs w:val="20"/>
        </w:rPr>
        <w:t xml:space="preserve"> </w:t>
      </w:r>
      <w:proofErr w:type="gramStart"/>
      <w:r w:rsidR="0072330E" w:rsidRPr="00DB20AE">
        <w:rPr>
          <w:rFonts w:ascii="Century Gothic" w:hAnsi="Century Gothic" w:cs="Cambria"/>
          <w:sz w:val="20"/>
          <w:szCs w:val="20"/>
        </w:rPr>
        <w:t>Namun demikian perekonomian beberapa Negara laju lainnya belum menunjukkan perbaikan secara memadai.</w:t>
      </w:r>
      <w:proofErr w:type="gramEnd"/>
      <w:r w:rsidR="0072330E" w:rsidRPr="00DB20AE">
        <w:rPr>
          <w:rFonts w:ascii="Century Gothic" w:hAnsi="Century Gothic" w:cs="Cambria"/>
          <w:sz w:val="20"/>
          <w:szCs w:val="20"/>
        </w:rPr>
        <w:t xml:space="preserve"> </w:t>
      </w:r>
      <w:proofErr w:type="gramStart"/>
      <w:r w:rsidR="0072330E" w:rsidRPr="00DB20AE">
        <w:rPr>
          <w:rFonts w:ascii="Century Gothic" w:hAnsi="Century Gothic" w:cs="Cambria"/>
          <w:sz w:val="20"/>
          <w:szCs w:val="20"/>
        </w:rPr>
        <w:t>Pemulihan Kawasan Eropa masih lambat, pertumbuhan ekonomi Tiongkok terus menurun.</w:t>
      </w:r>
      <w:proofErr w:type="gramEnd"/>
      <w:r w:rsidR="0072330E" w:rsidRPr="00DB20AE">
        <w:rPr>
          <w:rFonts w:ascii="Century Gothic" w:hAnsi="Century Gothic" w:cs="Cambria"/>
          <w:sz w:val="20"/>
          <w:szCs w:val="20"/>
        </w:rPr>
        <w:t xml:space="preserve"> </w:t>
      </w:r>
    </w:p>
    <w:p w:rsidR="00DB20AE" w:rsidRPr="00DB20AE" w:rsidRDefault="00DB20AE" w:rsidP="00DB20AE">
      <w:pPr>
        <w:pStyle w:val="Caption"/>
        <w:pBdr>
          <w:top w:val="none" w:sz="0" w:space="0" w:color="auto"/>
          <w:left w:val="none" w:sz="0" w:space="0" w:color="auto"/>
          <w:bottom w:val="none" w:sz="0" w:space="0" w:color="auto"/>
          <w:right w:val="none" w:sz="0" w:space="0" w:color="auto"/>
        </w:pBdr>
        <w:spacing w:before="120"/>
        <w:ind w:left="-108" w:right="-97"/>
        <w:jc w:val="center"/>
        <w:rPr>
          <w:rFonts w:ascii="Century Gothic" w:hAnsi="Century Gothic"/>
          <w:b/>
          <w:sz w:val="20"/>
          <w:szCs w:val="18"/>
          <w:lang w:val="en-US"/>
        </w:rPr>
      </w:pPr>
      <w:r w:rsidRPr="00DB20AE">
        <w:rPr>
          <w:rFonts w:ascii="Century Gothic" w:hAnsi="Century Gothic"/>
          <w:b/>
          <w:sz w:val="20"/>
          <w:szCs w:val="18"/>
        </w:rPr>
        <w:t>Gambar 3.</w:t>
      </w:r>
      <w:r w:rsidR="006550EE">
        <w:rPr>
          <w:rFonts w:ascii="Century Gothic" w:hAnsi="Century Gothic"/>
          <w:b/>
          <w:sz w:val="20"/>
          <w:szCs w:val="18"/>
          <w:lang w:val="en-US"/>
        </w:rPr>
        <w:t>6</w:t>
      </w:r>
    </w:p>
    <w:p w:rsidR="00DB20AE" w:rsidRPr="00DB20AE" w:rsidRDefault="00DB20AE" w:rsidP="00DB20AE">
      <w:pPr>
        <w:pStyle w:val="Caption"/>
        <w:pBdr>
          <w:top w:val="none" w:sz="0" w:space="0" w:color="auto"/>
          <w:left w:val="none" w:sz="0" w:space="0" w:color="auto"/>
          <w:bottom w:val="none" w:sz="0" w:space="0" w:color="auto"/>
          <w:right w:val="none" w:sz="0" w:space="0" w:color="auto"/>
        </w:pBdr>
        <w:ind w:left="-108" w:right="-97"/>
        <w:jc w:val="center"/>
        <w:rPr>
          <w:rFonts w:ascii="Century Gothic" w:hAnsi="Century Gothic"/>
          <w:b/>
          <w:sz w:val="20"/>
          <w:szCs w:val="18"/>
        </w:rPr>
      </w:pPr>
      <w:r w:rsidRPr="00DB20AE">
        <w:rPr>
          <w:rFonts w:ascii="Century Gothic" w:hAnsi="Century Gothic"/>
          <w:b/>
          <w:sz w:val="20"/>
          <w:szCs w:val="18"/>
        </w:rPr>
        <w:t>Proyeksi Perekonomian Global dan Nasional</w:t>
      </w:r>
    </w:p>
    <w:p w:rsidR="00DB20AE" w:rsidRDefault="00DB20AE" w:rsidP="00DB20AE">
      <w:pPr>
        <w:spacing w:after="0"/>
        <w:jc w:val="both"/>
        <w:rPr>
          <w:rFonts w:ascii="Bookman Old Style" w:hAnsi="Bookman Old Style"/>
          <w:noProof/>
        </w:rPr>
      </w:pPr>
      <w:r w:rsidRPr="0089382D">
        <w:rPr>
          <w:rFonts w:ascii="Century Gothic" w:hAnsi="Century Gothic"/>
          <w:noProof/>
        </w:rPr>
        <w:drawing>
          <wp:inline distT="0" distB="0" distL="0" distR="0" wp14:anchorId="48443458" wp14:editId="7B98E21E">
            <wp:extent cx="4860234" cy="2107095"/>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58236" cy="2106229"/>
                    </a:xfrm>
                    <a:prstGeom prst="rect">
                      <a:avLst/>
                    </a:prstGeom>
                    <a:noFill/>
                  </pic:spPr>
                </pic:pic>
              </a:graphicData>
            </a:graphic>
          </wp:inline>
        </w:drawing>
      </w:r>
    </w:p>
    <w:p w:rsidR="00DB20AE" w:rsidRPr="00DB20AE" w:rsidRDefault="00DB20AE" w:rsidP="006550EE">
      <w:pPr>
        <w:spacing w:after="120" w:line="240" w:lineRule="auto"/>
        <w:jc w:val="both"/>
        <w:rPr>
          <w:rFonts w:ascii="Century Gothic" w:hAnsi="Century Gothic"/>
          <w:noProof/>
          <w:sz w:val="16"/>
          <w:szCs w:val="16"/>
        </w:rPr>
      </w:pPr>
      <w:r w:rsidRPr="00DB20AE">
        <w:rPr>
          <w:rFonts w:ascii="Century Gothic" w:hAnsi="Century Gothic"/>
          <w:i/>
          <w:sz w:val="16"/>
          <w:szCs w:val="16"/>
          <w:lang w:val="es-ES"/>
        </w:rPr>
        <w:t xml:space="preserve">Sumber: </w:t>
      </w:r>
      <w:r w:rsidRPr="00DB20AE">
        <w:rPr>
          <w:rFonts w:ascii="Century Gothic" w:hAnsi="Century Gothic"/>
          <w:i/>
          <w:sz w:val="16"/>
          <w:szCs w:val="16"/>
        </w:rPr>
        <w:t>IMF, 2014</w:t>
      </w:r>
    </w:p>
    <w:p w:rsidR="0072330E" w:rsidRPr="00DB20AE" w:rsidRDefault="0072330E" w:rsidP="00AD407A">
      <w:pPr>
        <w:autoSpaceDE w:val="0"/>
        <w:autoSpaceDN w:val="0"/>
        <w:adjustRightInd w:val="0"/>
        <w:spacing w:after="0" w:line="360" w:lineRule="auto"/>
        <w:ind w:firstLine="720"/>
        <w:jc w:val="both"/>
        <w:rPr>
          <w:rFonts w:ascii="Century Gothic" w:hAnsi="Century Gothic" w:cs="Georgia"/>
          <w:sz w:val="20"/>
          <w:szCs w:val="20"/>
        </w:rPr>
      </w:pPr>
      <w:r w:rsidRPr="00DB20AE">
        <w:rPr>
          <w:rFonts w:ascii="Century Gothic" w:hAnsi="Century Gothic" w:cs="Georgia"/>
          <w:sz w:val="20"/>
          <w:szCs w:val="20"/>
        </w:rPr>
        <w:t>Sementara itu, perekonomian negara berkembang diperkirakan melambat dari 4</w:t>
      </w:r>
      <w:proofErr w:type="gramStart"/>
      <w:r w:rsidRPr="00DB20AE">
        <w:rPr>
          <w:rFonts w:ascii="Century Gothic" w:hAnsi="Century Gothic" w:cs="Georgia"/>
          <w:sz w:val="20"/>
          <w:szCs w:val="20"/>
        </w:rPr>
        <w:t>,6</w:t>
      </w:r>
      <w:proofErr w:type="gramEnd"/>
      <w:r w:rsidRPr="00DB20AE">
        <w:rPr>
          <w:rFonts w:ascii="Century Gothic" w:hAnsi="Century Gothic" w:cs="Georgia"/>
          <w:sz w:val="20"/>
          <w:szCs w:val="20"/>
        </w:rPr>
        <w:t xml:space="preserve"> persen di tahun 2014 menjadi 4,2 persen di tahun 2015. </w:t>
      </w:r>
      <w:r w:rsidRPr="00DB20AE">
        <w:rPr>
          <w:rFonts w:ascii="Century Gothic" w:hAnsi="Century Gothic" w:cs="Cambria"/>
          <w:sz w:val="20"/>
          <w:szCs w:val="20"/>
        </w:rPr>
        <w:t xml:space="preserve">Dalam periode yang </w:t>
      </w:r>
      <w:proofErr w:type="gramStart"/>
      <w:r w:rsidRPr="00DB20AE">
        <w:rPr>
          <w:rFonts w:ascii="Century Gothic" w:hAnsi="Century Gothic" w:cs="Cambria"/>
          <w:sz w:val="20"/>
          <w:szCs w:val="20"/>
        </w:rPr>
        <w:t>sama</w:t>
      </w:r>
      <w:proofErr w:type="gramEnd"/>
      <w:r w:rsidRPr="00DB20AE">
        <w:rPr>
          <w:rFonts w:ascii="Century Gothic" w:hAnsi="Century Gothic" w:cs="Cambria"/>
          <w:sz w:val="20"/>
          <w:szCs w:val="20"/>
        </w:rPr>
        <w:t xml:space="preserve"> penurunan permintaan dunia diikuti oleh penurunan harga komoditas internasional, termasuk harga minyak dunia yang turun dengan tajam. </w:t>
      </w:r>
      <w:r w:rsidR="00DB20AE" w:rsidRPr="00DB20AE">
        <w:rPr>
          <w:rFonts w:ascii="Century Gothic" w:hAnsi="Century Gothic" w:cs="Cambria"/>
          <w:sz w:val="20"/>
          <w:szCs w:val="20"/>
        </w:rPr>
        <w:t xml:space="preserve"> </w:t>
      </w:r>
      <w:proofErr w:type="gramStart"/>
      <w:r w:rsidR="00AD407A" w:rsidRPr="00DB20AE">
        <w:rPr>
          <w:rFonts w:ascii="Century Gothic" w:hAnsi="Century Gothic" w:cs="Georgia"/>
          <w:sz w:val="20"/>
          <w:szCs w:val="20"/>
        </w:rPr>
        <w:t xml:space="preserve">Perlambatan ekonomi ini </w:t>
      </w:r>
      <w:r w:rsidR="00AD407A" w:rsidRPr="00DB20AE">
        <w:rPr>
          <w:rFonts w:ascii="Century Gothic" w:hAnsi="Century Gothic" w:cs="Georgia"/>
          <w:sz w:val="20"/>
          <w:szCs w:val="20"/>
        </w:rPr>
        <w:lastRenderedPageBreak/>
        <w:t>sebagai dampak dari lebih rendahnya harga komoditas dan kondisi keuangan eksternal yang mengalami pengetatan.</w:t>
      </w:r>
      <w:proofErr w:type="gramEnd"/>
      <w:r w:rsidR="00AD407A" w:rsidRPr="00DB20AE">
        <w:rPr>
          <w:rFonts w:ascii="Century Gothic" w:hAnsi="Century Gothic" w:cs="Georgia"/>
          <w:sz w:val="20"/>
          <w:szCs w:val="20"/>
        </w:rPr>
        <w:t xml:space="preserve"> </w:t>
      </w:r>
      <w:proofErr w:type="gramStart"/>
      <w:r w:rsidRPr="00DB20AE">
        <w:rPr>
          <w:rFonts w:ascii="Century Gothic" w:hAnsi="Century Gothic" w:cs="Cambria"/>
          <w:sz w:val="20"/>
          <w:szCs w:val="20"/>
        </w:rPr>
        <w:t>Perekonomian Indonesia juga dihadapkan pada makin sulitnya likuiditas dunia sejalan dengan kebijakan pengurangan/penghentian pembelian obligasi (</w:t>
      </w:r>
      <w:r w:rsidRPr="00DB20AE">
        <w:rPr>
          <w:rFonts w:ascii="Century Gothic" w:hAnsi="Century Gothic" w:cs="Cambria,Italic"/>
          <w:i/>
          <w:iCs/>
          <w:sz w:val="20"/>
          <w:szCs w:val="20"/>
        </w:rPr>
        <w:t>tapering off</w:t>
      </w:r>
      <w:r w:rsidRPr="00DB20AE">
        <w:rPr>
          <w:rFonts w:ascii="Century Gothic" w:hAnsi="Century Gothic" w:cs="Cambria"/>
          <w:sz w:val="20"/>
          <w:szCs w:val="20"/>
        </w:rPr>
        <w:t>) yang dilakukan oleh Bank Sentral AS.</w:t>
      </w:r>
      <w:proofErr w:type="gramEnd"/>
    </w:p>
    <w:p w:rsidR="00DB20AE" w:rsidRPr="00DB20AE" w:rsidRDefault="00AD407A" w:rsidP="00DB20AE">
      <w:pPr>
        <w:autoSpaceDE w:val="0"/>
        <w:autoSpaceDN w:val="0"/>
        <w:adjustRightInd w:val="0"/>
        <w:spacing w:after="0" w:line="360" w:lineRule="auto"/>
        <w:ind w:firstLine="709"/>
        <w:jc w:val="both"/>
        <w:rPr>
          <w:rFonts w:ascii="Century Gothic" w:hAnsi="Century Gothic" w:cs="Bookman Old Style"/>
          <w:color w:val="000000" w:themeColor="text1"/>
          <w:sz w:val="20"/>
          <w:szCs w:val="20"/>
        </w:rPr>
      </w:pPr>
      <w:r w:rsidRPr="00DB20AE">
        <w:rPr>
          <w:rFonts w:ascii="Century Gothic" w:hAnsi="Century Gothic" w:cs="Georgia"/>
          <w:sz w:val="20"/>
          <w:szCs w:val="20"/>
        </w:rPr>
        <w:t>Di tahun 2016, pertumbuhan ekonomi dunia diperkirakan menguat menjadi 3</w:t>
      </w:r>
      <w:proofErr w:type="gramStart"/>
      <w:r w:rsidRPr="00DB20AE">
        <w:rPr>
          <w:rFonts w:ascii="Century Gothic" w:hAnsi="Century Gothic" w:cs="Georgia"/>
          <w:sz w:val="20"/>
          <w:szCs w:val="20"/>
        </w:rPr>
        <w:t>,8</w:t>
      </w:r>
      <w:proofErr w:type="gramEnd"/>
      <w:r w:rsidRPr="00DB20AE">
        <w:rPr>
          <w:rFonts w:ascii="Century Gothic" w:hAnsi="Century Gothic" w:cs="Georgia"/>
          <w:sz w:val="20"/>
          <w:szCs w:val="20"/>
        </w:rPr>
        <w:t xml:space="preserve"> persen, sedangkan pertumbuhan ekonomi di negara berkembang diharapkan meningkat menjadi 4,7 persen. </w:t>
      </w:r>
      <w:proofErr w:type="gramStart"/>
      <w:r w:rsidRPr="00DB20AE">
        <w:rPr>
          <w:rFonts w:ascii="Century Gothic" w:hAnsi="Century Gothic" w:cs="Georgia"/>
          <w:sz w:val="20"/>
          <w:szCs w:val="20"/>
        </w:rPr>
        <w:t xml:space="preserve">Peningkatan ini bergantung dari perbaikan kondisi ekonomi di sejumlah negara yang tengah mengalami krisis, termasuk Rusia, beberapa </w:t>
      </w:r>
      <w:r w:rsidRPr="00DB20AE">
        <w:rPr>
          <w:rFonts w:ascii="Century Gothic" w:hAnsi="Century Gothic" w:cs="Georgia"/>
          <w:color w:val="000000" w:themeColor="text1"/>
          <w:sz w:val="20"/>
          <w:szCs w:val="20"/>
        </w:rPr>
        <w:t>negara Timur Tengah dan Afrika Utara.</w:t>
      </w:r>
      <w:proofErr w:type="gramEnd"/>
      <w:r w:rsidRPr="00DB20AE">
        <w:rPr>
          <w:rFonts w:ascii="Century Gothic" w:hAnsi="Century Gothic" w:cs="Georgia"/>
          <w:color w:val="000000" w:themeColor="text1"/>
          <w:sz w:val="20"/>
          <w:szCs w:val="20"/>
        </w:rPr>
        <w:t xml:space="preserve"> </w:t>
      </w:r>
      <w:r w:rsidR="00DB20AE" w:rsidRPr="00DB20AE">
        <w:rPr>
          <w:rFonts w:ascii="Century Gothic" w:hAnsi="Century Gothic" w:cs="Bookman Old Style"/>
          <w:color w:val="000000" w:themeColor="text1"/>
          <w:sz w:val="20"/>
          <w:szCs w:val="20"/>
        </w:rPr>
        <w:t xml:space="preserve">Kerjasama regional Masyarakat Ekonomi ASEAN (MEA) yang akan dimulai 1 Januari 2016 juga perlu menjadi perhatian bagi perekonomian Indonesia dan Kota Baubau pada khususnya. Dengan dimulainya MEA, maka perekonomian regional </w:t>
      </w:r>
      <w:proofErr w:type="gramStart"/>
      <w:r w:rsidR="00DB20AE" w:rsidRPr="00DB20AE">
        <w:rPr>
          <w:rFonts w:ascii="Century Gothic" w:hAnsi="Century Gothic" w:cs="Bookman Old Style"/>
          <w:color w:val="000000" w:themeColor="text1"/>
          <w:sz w:val="20"/>
          <w:szCs w:val="20"/>
        </w:rPr>
        <w:t>akan</w:t>
      </w:r>
      <w:proofErr w:type="gramEnd"/>
      <w:r w:rsidR="00DB20AE" w:rsidRPr="00DB20AE">
        <w:rPr>
          <w:rFonts w:ascii="Century Gothic" w:hAnsi="Century Gothic" w:cs="Bookman Old Style"/>
          <w:color w:val="000000" w:themeColor="text1"/>
          <w:sz w:val="20"/>
          <w:szCs w:val="20"/>
        </w:rPr>
        <w:t xml:space="preserve"> semakin terbuka, yang akan berimplikasi pada terbukanya arus barang dan jasa antar negara ASEAN.</w:t>
      </w:r>
    </w:p>
    <w:p w:rsidR="006550EE" w:rsidRDefault="00AD407A" w:rsidP="0011231A">
      <w:pPr>
        <w:autoSpaceDE w:val="0"/>
        <w:autoSpaceDN w:val="0"/>
        <w:adjustRightInd w:val="0"/>
        <w:spacing w:after="0" w:line="360" w:lineRule="auto"/>
        <w:ind w:firstLine="720"/>
        <w:jc w:val="both"/>
        <w:rPr>
          <w:rFonts w:ascii="Century Gothic" w:hAnsi="Century Gothic" w:cs="Bookman Old Style"/>
          <w:color w:val="000000" w:themeColor="text1"/>
          <w:sz w:val="20"/>
          <w:szCs w:val="20"/>
        </w:rPr>
      </w:pPr>
      <w:r w:rsidRPr="0011231A">
        <w:rPr>
          <w:rFonts w:ascii="Century Gothic" w:hAnsi="Century Gothic" w:cs="Bookman Old Style"/>
          <w:color w:val="000000" w:themeColor="text1"/>
          <w:sz w:val="20"/>
          <w:szCs w:val="20"/>
        </w:rPr>
        <w:t xml:space="preserve">Kinerja perekonomian dunia tersebut diperkirakan masih </w:t>
      </w:r>
      <w:proofErr w:type="gramStart"/>
      <w:r w:rsidRPr="0011231A">
        <w:rPr>
          <w:rFonts w:ascii="Century Gothic" w:hAnsi="Century Gothic" w:cs="Bookman Old Style"/>
          <w:color w:val="000000" w:themeColor="text1"/>
          <w:sz w:val="20"/>
          <w:szCs w:val="20"/>
        </w:rPr>
        <w:t>akan</w:t>
      </w:r>
      <w:proofErr w:type="gramEnd"/>
      <w:r w:rsidRPr="0011231A">
        <w:rPr>
          <w:rFonts w:ascii="Century Gothic" w:hAnsi="Century Gothic" w:cs="Bookman Old Style"/>
          <w:color w:val="000000" w:themeColor="text1"/>
          <w:sz w:val="20"/>
          <w:szCs w:val="20"/>
        </w:rPr>
        <w:t xml:space="preserve"> mempengaruhi kinerja pertumbuhan ekonomi di negara-negara berkembang di tahun 2016, termasuk Indonesia. </w:t>
      </w:r>
      <w:r w:rsidR="00DB20AE" w:rsidRPr="0011231A">
        <w:rPr>
          <w:rFonts w:ascii="Century Gothic" w:hAnsi="Century Gothic" w:cs="Bookman Old Style"/>
          <w:color w:val="000000" w:themeColor="text1"/>
          <w:sz w:val="20"/>
          <w:szCs w:val="20"/>
        </w:rPr>
        <w:t xml:space="preserve"> </w:t>
      </w:r>
      <w:r w:rsidR="00281F68" w:rsidRPr="0011231A">
        <w:rPr>
          <w:rFonts w:ascii="Century Gothic" w:hAnsi="Century Gothic" w:cs="Bookman Old Style"/>
          <w:color w:val="000000" w:themeColor="text1"/>
          <w:sz w:val="20"/>
          <w:szCs w:val="20"/>
        </w:rPr>
        <w:t xml:space="preserve">Hasil perkiraan International Monetary Fund (IMF), perekonomian nasional pada tahun 2015 akan tumbuh 5,2 persen pada tahun 2015 dan 5,5 persen pada tahun 2016. Sementara, Pemerintah Pusat menetapkan perkiraan pertumbuhan ekonomi tahun 2015 yang lebih optimis pada kisaran 5,4-5,8 persen. </w:t>
      </w:r>
      <w:proofErr w:type="gramStart"/>
      <w:r w:rsidR="00281F68" w:rsidRPr="0011231A">
        <w:rPr>
          <w:rFonts w:ascii="Century Gothic" w:hAnsi="Century Gothic" w:cs="Bookman Old Style"/>
          <w:color w:val="000000" w:themeColor="text1"/>
          <w:sz w:val="20"/>
          <w:szCs w:val="20"/>
        </w:rPr>
        <w:t>Peningkatan pertumbuhan tersebut diharapkan dari perbaikan kinerja investasi sejalan dengan realisasi berbagai proyek infrastruktur dan perbaikan iklim investasi, serta konsumsi yang tetap kuat.</w:t>
      </w:r>
      <w:proofErr w:type="gramEnd"/>
      <w:r w:rsidR="00281F68" w:rsidRPr="0011231A">
        <w:rPr>
          <w:rFonts w:ascii="Century Gothic" w:hAnsi="Century Gothic" w:cs="Bookman Old Style"/>
          <w:color w:val="000000" w:themeColor="text1"/>
          <w:sz w:val="20"/>
          <w:szCs w:val="20"/>
        </w:rPr>
        <w:t xml:space="preserve"> </w:t>
      </w:r>
      <w:proofErr w:type="gramStart"/>
      <w:r w:rsidR="00281F68" w:rsidRPr="0011231A">
        <w:rPr>
          <w:rFonts w:ascii="Century Gothic" w:hAnsi="Century Gothic" w:cs="Bookman Old Style"/>
          <w:color w:val="000000" w:themeColor="text1"/>
          <w:sz w:val="20"/>
          <w:szCs w:val="20"/>
        </w:rPr>
        <w:t>Sementara itu, penerimaan ekspor juga diperkirakan mengalami perbaikan secara bertahap sehingga defisit neraca berjalan menjadi sedikit lebih baik.</w:t>
      </w:r>
      <w:proofErr w:type="gramEnd"/>
      <w:r w:rsidR="00281F68" w:rsidRPr="0011231A">
        <w:rPr>
          <w:rFonts w:ascii="Century Gothic" w:hAnsi="Century Gothic" w:cs="Bookman Old Style"/>
          <w:color w:val="000000" w:themeColor="text1"/>
          <w:sz w:val="20"/>
          <w:szCs w:val="20"/>
        </w:rPr>
        <w:t xml:space="preserve"> </w:t>
      </w:r>
      <w:r w:rsidR="006550EE">
        <w:rPr>
          <w:rFonts w:ascii="Century Gothic" w:hAnsi="Century Gothic" w:cs="Bookman Old Style"/>
          <w:color w:val="000000" w:themeColor="text1"/>
          <w:sz w:val="20"/>
          <w:szCs w:val="20"/>
        </w:rPr>
        <w:t xml:space="preserve"> </w:t>
      </w:r>
      <w:r w:rsidR="0011231A" w:rsidRPr="0011231A">
        <w:rPr>
          <w:rFonts w:ascii="Century Gothic" w:hAnsi="Century Gothic" w:cs="Bookman Old Style"/>
          <w:color w:val="000000" w:themeColor="text1"/>
          <w:sz w:val="20"/>
          <w:szCs w:val="20"/>
        </w:rPr>
        <w:t xml:space="preserve">Berdasarkan Rencana Kerja Pemerintah (RKP) Tahun 2016, </w:t>
      </w:r>
    </w:p>
    <w:p w:rsidR="006550EE" w:rsidRPr="0011231A" w:rsidRDefault="006550EE" w:rsidP="006550EE">
      <w:pPr>
        <w:autoSpaceDE w:val="0"/>
        <w:autoSpaceDN w:val="0"/>
        <w:adjustRightInd w:val="0"/>
        <w:spacing w:after="0" w:line="240" w:lineRule="auto"/>
        <w:jc w:val="center"/>
        <w:rPr>
          <w:rFonts w:ascii="Century Gothic" w:hAnsi="Century Gothic" w:cs="Cambria"/>
          <w:b/>
          <w:noProof/>
          <w:sz w:val="20"/>
          <w:szCs w:val="20"/>
        </w:rPr>
      </w:pPr>
      <w:r>
        <w:rPr>
          <w:rFonts w:ascii="Century Gothic" w:hAnsi="Century Gothic" w:cs="Cambria"/>
          <w:b/>
          <w:noProof/>
          <w:sz w:val="20"/>
          <w:szCs w:val="20"/>
        </w:rPr>
        <w:t>Tabel 3.2</w:t>
      </w:r>
    </w:p>
    <w:p w:rsidR="006550EE" w:rsidRPr="0011231A" w:rsidRDefault="006550EE" w:rsidP="006550EE">
      <w:pPr>
        <w:autoSpaceDE w:val="0"/>
        <w:autoSpaceDN w:val="0"/>
        <w:adjustRightInd w:val="0"/>
        <w:spacing w:after="0" w:line="240" w:lineRule="auto"/>
        <w:jc w:val="center"/>
        <w:rPr>
          <w:rFonts w:ascii="Century Gothic" w:hAnsi="Century Gothic" w:cs="Cambria"/>
          <w:b/>
          <w:sz w:val="20"/>
          <w:szCs w:val="20"/>
        </w:rPr>
      </w:pPr>
      <w:r w:rsidRPr="0011231A">
        <w:rPr>
          <w:rFonts w:ascii="Century Gothic" w:hAnsi="Century Gothic" w:cs="Cambria"/>
          <w:b/>
          <w:noProof/>
          <w:sz w:val="20"/>
          <w:szCs w:val="20"/>
        </w:rPr>
        <w:t>Asumsi Ekonomi Makro Indonesia Tahun 2016</w:t>
      </w:r>
    </w:p>
    <w:tbl>
      <w:tblPr>
        <w:tblStyle w:val="MediumGrid3-Accent5"/>
        <w:tblW w:w="0" w:type="auto"/>
        <w:tblLook w:val="04A0" w:firstRow="1" w:lastRow="0" w:firstColumn="1" w:lastColumn="0" w:noHBand="0" w:noVBand="1"/>
      </w:tblPr>
      <w:tblGrid>
        <w:gridCol w:w="4077"/>
        <w:gridCol w:w="1134"/>
        <w:gridCol w:w="1134"/>
        <w:gridCol w:w="2381"/>
      </w:tblGrid>
      <w:tr w:rsidR="006550EE" w:rsidRPr="0011231A" w:rsidTr="002272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vAlign w:val="center"/>
          </w:tcPr>
          <w:p w:rsidR="006550EE" w:rsidRPr="0011231A" w:rsidRDefault="006550EE" w:rsidP="00227282">
            <w:pPr>
              <w:autoSpaceDE w:val="0"/>
              <w:autoSpaceDN w:val="0"/>
              <w:adjustRightInd w:val="0"/>
              <w:contextualSpacing/>
              <w:jc w:val="center"/>
              <w:rPr>
                <w:rFonts w:ascii="Century Gothic" w:hAnsi="Century Gothic" w:cs="Cambria"/>
                <w:sz w:val="18"/>
                <w:szCs w:val="18"/>
              </w:rPr>
            </w:pPr>
            <w:r w:rsidRPr="0011231A">
              <w:rPr>
                <w:rFonts w:ascii="Century Gothic" w:hAnsi="Century Gothic" w:cs="Cambria"/>
                <w:sz w:val="18"/>
                <w:szCs w:val="18"/>
              </w:rPr>
              <w:t>URAIAN</w:t>
            </w:r>
          </w:p>
        </w:tc>
        <w:tc>
          <w:tcPr>
            <w:tcW w:w="1134" w:type="dxa"/>
          </w:tcPr>
          <w:p w:rsidR="006550EE" w:rsidRPr="0011231A" w:rsidRDefault="006550EE" w:rsidP="00227282">
            <w:pPr>
              <w:autoSpaceDE w:val="0"/>
              <w:autoSpaceDN w:val="0"/>
              <w:adjustRightInd w:val="0"/>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mbria"/>
                <w:sz w:val="18"/>
                <w:szCs w:val="18"/>
              </w:rPr>
            </w:pPr>
            <w:r w:rsidRPr="0011231A">
              <w:rPr>
                <w:rFonts w:ascii="Century Gothic" w:hAnsi="Century Gothic" w:cs="Cambria"/>
                <w:sz w:val="18"/>
                <w:szCs w:val="18"/>
              </w:rPr>
              <w:t>APBN</w:t>
            </w:r>
          </w:p>
          <w:p w:rsidR="006550EE" w:rsidRPr="0011231A" w:rsidRDefault="006550EE" w:rsidP="00227282">
            <w:pPr>
              <w:autoSpaceDE w:val="0"/>
              <w:autoSpaceDN w:val="0"/>
              <w:adjustRightInd w:val="0"/>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mbria"/>
                <w:sz w:val="18"/>
                <w:szCs w:val="18"/>
              </w:rPr>
            </w:pPr>
            <w:r w:rsidRPr="0011231A">
              <w:rPr>
                <w:rFonts w:ascii="Century Gothic" w:hAnsi="Century Gothic" w:cs="Cambria"/>
                <w:sz w:val="18"/>
                <w:szCs w:val="18"/>
              </w:rPr>
              <w:t xml:space="preserve"> 2014</w:t>
            </w:r>
          </w:p>
        </w:tc>
        <w:tc>
          <w:tcPr>
            <w:tcW w:w="1134" w:type="dxa"/>
          </w:tcPr>
          <w:p w:rsidR="006550EE" w:rsidRPr="0011231A" w:rsidRDefault="006550EE" w:rsidP="00227282">
            <w:pPr>
              <w:autoSpaceDE w:val="0"/>
              <w:autoSpaceDN w:val="0"/>
              <w:adjustRightInd w:val="0"/>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mbria"/>
                <w:sz w:val="18"/>
                <w:szCs w:val="18"/>
              </w:rPr>
            </w:pPr>
            <w:r w:rsidRPr="0011231A">
              <w:rPr>
                <w:rFonts w:ascii="Century Gothic" w:hAnsi="Century Gothic" w:cs="Cambria"/>
                <w:sz w:val="18"/>
                <w:szCs w:val="18"/>
              </w:rPr>
              <w:t>APBNP 2015</w:t>
            </w:r>
          </w:p>
        </w:tc>
        <w:tc>
          <w:tcPr>
            <w:tcW w:w="2381" w:type="dxa"/>
          </w:tcPr>
          <w:p w:rsidR="006550EE" w:rsidRPr="0011231A" w:rsidRDefault="006550EE" w:rsidP="00227282">
            <w:pPr>
              <w:autoSpaceDE w:val="0"/>
              <w:autoSpaceDN w:val="0"/>
              <w:adjustRightInd w:val="0"/>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mbria"/>
                <w:sz w:val="18"/>
                <w:szCs w:val="18"/>
              </w:rPr>
            </w:pPr>
            <w:r w:rsidRPr="0011231A">
              <w:rPr>
                <w:rFonts w:ascii="Century Gothic" w:hAnsi="Century Gothic" w:cs="Cambria"/>
                <w:sz w:val="18"/>
                <w:szCs w:val="18"/>
              </w:rPr>
              <w:t xml:space="preserve">KEM dan KF </w:t>
            </w:r>
          </w:p>
          <w:p w:rsidR="006550EE" w:rsidRPr="0011231A" w:rsidRDefault="006550EE" w:rsidP="00227282">
            <w:pPr>
              <w:autoSpaceDE w:val="0"/>
              <w:autoSpaceDN w:val="0"/>
              <w:adjustRightInd w:val="0"/>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mbria"/>
                <w:sz w:val="18"/>
                <w:szCs w:val="18"/>
              </w:rPr>
            </w:pPr>
            <w:r w:rsidRPr="0011231A">
              <w:rPr>
                <w:rFonts w:ascii="Century Gothic" w:hAnsi="Century Gothic" w:cs="Cambria"/>
                <w:sz w:val="18"/>
                <w:szCs w:val="18"/>
              </w:rPr>
              <w:t>2016</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 xml:space="preserve">Pertumbuhan </w:t>
            </w:r>
            <w:proofErr w:type="gramStart"/>
            <w:r w:rsidRPr="0011231A">
              <w:rPr>
                <w:rFonts w:ascii="Century Gothic" w:hAnsi="Century Gothic" w:cs="Cambria"/>
                <w:sz w:val="18"/>
                <w:szCs w:val="18"/>
              </w:rPr>
              <w:t>Ekonomi  (</w:t>
            </w:r>
            <w:proofErr w:type="gramEnd"/>
            <w:r w:rsidRPr="0011231A">
              <w:rPr>
                <w:rFonts w:ascii="Century Gothic" w:hAnsi="Century Gothic" w:cs="Cambria"/>
                <w:sz w:val="18"/>
                <w:szCs w:val="18"/>
              </w:rPr>
              <w:t>%)</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5,00</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5,70</w:t>
            </w: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5,5</w:t>
            </w:r>
          </w:p>
        </w:tc>
      </w:tr>
      <w:tr w:rsidR="006550EE" w:rsidRPr="0011231A" w:rsidTr="00227282">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Inflasi (%)</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8,40</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5,00</w:t>
            </w:r>
          </w:p>
        </w:tc>
        <w:tc>
          <w:tcPr>
            <w:tcW w:w="2381"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4,7</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 xml:space="preserve">Suku Bunga </w:t>
            </w:r>
            <w:r>
              <w:rPr>
                <w:rFonts w:ascii="Century Gothic" w:hAnsi="Century Gothic" w:cs="Cambria"/>
                <w:sz w:val="18"/>
                <w:szCs w:val="18"/>
              </w:rPr>
              <w:t xml:space="preserve">SPN </w:t>
            </w:r>
            <w:r w:rsidRPr="0011231A">
              <w:rPr>
                <w:rFonts w:ascii="Century Gothic" w:hAnsi="Century Gothic" w:cs="Cambria"/>
                <w:sz w:val="18"/>
                <w:szCs w:val="18"/>
              </w:rPr>
              <w:t>3 Bulan (%)</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5,80</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6,20</w:t>
            </w: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5,5</w:t>
            </w:r>
          </w:p>
        </w:tc>
      </w:tr>
      <w:tr w:rsidR="006550EE" w:rsidRPr="0011231A" w:rsidTr="00227282">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Nilai Tukar (Rp/US$1)</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11.878,0</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12.500,0</w:t>
            </w:r>
          </w:p>
        </w:tc>
        <w:tc>
          <w:tcPr>
            <w:tcW w:w="2381"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13.400,0</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Persentase Penduduk Miskin (%)</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10,96</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10,30</w:t>
            </w: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9,00 – 10,00</w:t>
            </w:r>
          </w:p>
        </w:tc>
      </w:tr>
      <w:tr w:rsidR="006550EE" w:rsidRPr="0011231A" w:rsidTr="00227282">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 xml:space="preserve">Tingkat Pengangguran Terbuka </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5,94</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5,60</w:t>
            </w:r>
          </w:p>
        </w:tc>
        <w:tc>
          <w:tcPr>
            <w:tcW w:w="2381"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5,20 – 5,50</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Indeks Gini</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0,413</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0,413</w:t>
            </w: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0,39</w:t>
            </w:r>
          </w:p>
        </w:tc>
      </w:tr>
      <w:tr w:rsidR="006550EE" w:rsidRPr="0011231A" w:rsidTr="00227282">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Cambria"/>
                <w:sz w:val="18"/>
                <w:szCs w:val="18"/>
              </w:rPr>
            </w:pPr>
            <w:r w:rsidRPr="0011231A">
              <w:rPr>
                <w:rFonts w:ascii="Century Gothic" w:hAnsi="Century Gothic" w:cs="Cambria"/>
                <w:sz w:val="18"/>
                <w:szCs w:val="18"/>
              </w:rPr>
              <w:t>Indeks Pembangunan Manusia</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p>
        </w:tc>
        <w:tc>
          <w:tcPr>
            <w:tcW w:w="2381"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r w:rsidRPr="0011231A">
              <w:rPr>
                <w:rFonts w:ascii="Century Gothic" w:hAnsi="Century Gothic" w:cs="Cambria"/>
                <w:b/>
                <w:sz w:val="18"/>
                <w:szCs w:val="18"/>
              </w:rPr>
              <w:t>70,1</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Georgia"/>
                <w:sz w:val="18"/>
                <w:szCs w:val="18"/>
              </w:rPr>
            </w:pPr>
            <w:r w:rsidRPr="0011231A">
              <w:rPr>
                <w:rFonts w:ascii="Century Gothic" w:hAnsi="Century Gothic" w:cs="Georgia"/>
                <w:sz w:val="18"/>
                <w:szCs w:val="18"/>
              </w:rPr>
              <w:t xml:space="preserve">Harga minyak mentah Indonesia  </w:t>
            </w: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r w:rsidRPr="0011231A">
              <w:rPr>
                <w:rFonts w:ascii="Century Gothic" w:hAnsi="Century Gothic" w:cs="Georgia"/>
                <w:b/>
                <w:sz w:val="18"/>
                <w:szCs w:val="18"/>
              </w:rPr>
              <w:t>60 per US$</w:t>
            </w:r>
          </w:p>
        </w:tc>
      </w:tr>
      <w:tr w:rsidR="006550EE" w:rsidRPr="0011231A" w:rsidTr="00227282">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Georgia"/>
                <w:sz w:val="18"/>
                <w:szCs w:val="18"/>
              </w:rPr>
            </w:pPr>
            <w:r w:rsidRPr="0011231A">
              <w:rPr>
                <w:rFonts w:ascii="Century Gothic" w:hAnsi="Century Gothic" w:cs="Georgia-Italic"/>
                <w:i/>
                <w:iCs/>
                <w:sz w:val="18"/>
                <w:szCs w:val="18"/>
              </w:rPr>
              <w:t xml:space="preserve">Llifting </w:t>
            </w:r>
            <w:r w:rsidRPr="0011231A">
              <w:rPr>
                <w:rFonts w:ascii="Century Gothic" w:hAnsi="Century Gothic" w:cs="Georgia"/>
                <w:sz w:val="18"/>
                <w:szCs w:val="18"/>
              </w:rPr>
              <w:t>minyak Indonesia</w:t>
            </w: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p>
        </w:tc>
        <w:tc>
          <w:tcPr>
            <w:tcW w:w="1134"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mbria"/>
                <w:b/>
                <w:sz w:val="18"/>
                <w:szCs w:val="18"/>
              </w:rPr>
            </w:pPr>
          </w:p>
        </w:tc>
        <w:tc>
          <w:tcPr>
            <w:tcW w:w="2381" w:type="dxa"/>
            <w:vAlign w:val="center"/>
          </w:tcPr>
          <w:p w:rsidR="006550EE" w:rsidRPr="0011231A" w:rsidRDefault="006550EE" w:rsidP="00227282">
            <w:pPr>
              <w:autoSpaceDE w:val="0"/>
              <w:autoSpaceDN w:val="0"/>
              <w:adjustRightInd w:val="0"/>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Georgia"/>
                <w:b/>
                <w:sz w:val="18"/>
                <w:szCs w:val="18"/>
              </w:rPr>
            </w:pPr>
            <w:r w:rsidRPr="0011231A">
              <w:rPr>
                <w:rFonts w:ascii="Century Gothic" w:hAnsi="Century Gothic" w:cs="Georgia"/>
                <w:b/>
                <w:sz w:val="18"/>
                <w:szCs w:val="18"/>
              </w:rPr>
              <w:t>830 ribu barel per hari</w:t>
            </w:r>
          </w:p>
        </w:tc>
      </w:tr>
      <w:tr w:rsidR="006550EE" w:rsidRPr="0011231A" w:rsidTr="00227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tcPr>
          <w:p w:rsidR="006550EE" w:rsidRPr="0011231A" w:rsidRDefault="006550EE" w:rsidP="00F8160D">
            <w:pPr>
              <w:pStyle w:val="ListParagraph"/>
              <w:numPr>
                <w:ilvl w:val="0"/>
                <w:numId w:val="7"/>
              </w:numPr>
              <w:autoSpaceDE w:val="0"/>
              <w:autoSpaceDN w:val="0"/>
              <w:adjustRightInd w:val="0"/>
              <w:ind w:left="426"/>
              <w:rPr>
                <w:rFonts w:ascii="Century Gothic" w:hAnsi="Century Gothic" w:cs="Georgia"/>
                <w:sz w:val="18"/>
                <w:szCs w:val="18"/>
              </w:rPr>
            </w:pPr>
            <w:r w:rsidRPr="0011231A">
              <w:rPr>
                <w:rFonts w:ascii="Century Gothic" w:hAnsi="Century Gothic" w:cs="Georgia-Italic"/>
                <w:i/>
                <w:iCs/>
                <w:sz w:val="18"/>
                <w:szCs w:val="18"/>
              </w:rPr>
              <w:t xml:space="preserve">Llifting </w:t>
            </w:r>
            <w:r w:rsidRPr="0011231A">
              <w:rPr>
                <w:rFonts w:ascii="Century Gothic" w:hAnsi="Century Gothic" w:cs="Georgia"/>
                <w:sz w:val="18"/>
                <w:szCs w:val="18"/>
              </w:rPr>
              <w:t xml:space="preserve">gas </w:t>
            </w:r>
          </w:p>
          <w:p w:rsidR="006550EE" w:rsidRPr="0011231A" w:rsidRDefault="006550EE" w:rsidP="00227282">
            <w:pPr>
              <w:autoSpaceDE w:val="0"/>
              <w:autoSpaceDN w:val="0"/>
              <w:adjustRightInd w:val="0"/>
              <w:ind w:left="426" w:hanging="360"/>
              <w:contextualSpacing/>
              <w:rPr>
                <w:rFonts w:ascii="Century Gothic" w:hAnsi="Century Gothic" w:cs="Georgia-Italic"/>
                <w:i/>
                <w:iCs/>
                <w:sz w:val="18"/>
                <w:szCs w:val="18"/>
              </w:rPr>
            </w:pP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p>
        </w:tc>
        <w:tc>
          <w:tcPr>
            <w:tcW w:w="1134"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mbria"/>
                <w:b/>
                <w:sz w:val="18"/>
                <w:szCs w:val="18"/>
              </w:rPr>
            </w:pPr>
          </w:p>
        </w:tc>
        <w:tc>
          <w:tcPr>
            <w:tcW w:w="2381" w:type="dxa"/>
            <w:vAlign w:val="center"/>
          </w:tcPr>
          <w:p w:rsidR="006550EE" w:rsidRPr="0011231A" w:rsidRDefault="006550EE" w:rsidP="00227282">
            <w:pPr>
              <w:autoSpaceDE w:val="0"/>
              <w:autoSpaceDN w:val="0"/>
              <w:adjustRightInd w:val="0"/>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Georgia"/>
                <w:b/>
                <w:sz w:val="18"/>
                <w:szCs w:val="18"/>
              </w:rPr>
            </w:pPr>
            <w:r w:rsidRPr="0011231A">
              <w:rPr>
                <w:rFonts w:ascii="Century Gothic" w:hAnsi="Century Gothic" w:cs="Georgia"/>
                <w:b/>
                <w:sz w:val="18"/>
                <w:szCs w:val="18"/>
              </w:rPr>
              <w:t>1.155 ribu barel setara minyak per hari.</w:t>
            </w:r>
          </w:p>
        </w:tc>
      </w:tr>
    </w:tbl>
    <w:p w:rsidR="006550EE" w:rsidRDefault="006550EE" w:rsidP="006550EE">
      <w:pPr>
        <w:tabs>
          <w:tab w:val="left" w:pos="1134"/>
          <w:tab w:val="left" w:pos="1418"/>
        </w:tabs>
        <w:autoSpaceDE w:val="0"/>
        <w:autoSpaceDN w:val="0"/>
        <w:adjustRightInd w:val="0"/>
        <w:spacing w:after="0" w:line="240" w:lineRule="auto"/>
        <w:rPr>
          <w:rFonts w:ascii="Century Gothic" w:hAnsi="Century Gothic" w:cs="Cambria"/>
          <w:i/>
          <w:sz w:val="16"/>
          <w:szCs w:val="16"/>
        </w:rPr>
      </w:pPr>
      <w:r w:rsidRPr="0011231A">
        <w:rPr>
          <w:rFonts w:ascii="Century Gothic" w:hAnsi="Century Gothic" w:cs="Cambria"/>
          <w:i/>
          <w:sz w:val="16"/>
          <w:szCs w:val="16"/>
        </w:rPr>
        <w:t>Sumber</w:t>
      </w:r>
      <w:r>
        <w:rPr>
          <w:rFonts w:ascii="Century Gothic" w:hAnsi="Century Gothic" w:cs="Cambria"/>
          <w:i/>
          <w:sz w:val="16"/>
          <w:szCs w:val="16"/>
        </w:rPr>
        <w:tab/>
      </w:r>
      <w:r w:rsidRPr="0011231A">
        <w:rPr>
          <w:rFonts w:ascii="Century Gothic" w:hAnsi="Century Gothic" w:cs="Cambria"/>
          <w:i/>
          <w:sz w:val="16"/>
          <w:szCs w:val="16"/>
        </w:rPr>
        <w:t>:</w:t>
      </w:r>
      <w:r>
        <w:rPr>
          <w:rFonts w:ascii="Century Gothic" w:hAnsi="Century Gothic" w:cs="Cambria"/>
          <w:i/>
          <w:sz w:val="16"/>
          <w:szCs w:val="16"/>
        </w:rPr>
        <w:tab/>
      </w:r>
      <w:r w:rsidRPr="0011231A">
        <w:rPr>
          <w:rFonts w:ascii="Century Gothic" w:hAnsi="Century Gothic" w:cs="Cambria"/>
          <w:i/>
          <w:sz w:val="16"/>
          <w:szCs w:val="16"/>
        </w:rPr>
        <w:t xml:space="preserve"> Kerangka Ekonomi Makro dan Pokok-pokok Fiskal 2016</w:t>
      </w:r>
    </w:p>
    <w:p w:rsidR="006550EE" w:rsidRPr="0011231A" w:rsidRDefault="006550EE" w:rsidP="006550EE">
      <w:pPr>
        <w:tabs>
          <w:tab w:val="left" w:pos="1134"/>
          <w:tab w:val="left" w:pos="1418"/>
        </w:tabs>
        <w:autoSpaceDE w:val="0"/>
        <w:autoSpaceDN w:val="0"/>
        <w:adjustRightInd w:val="0"/>
        <w:spacing w:after="0" w:line="240" w:lineRule="auto"/>
        <w:rPr>
          <w:rFonts w:ascii="Century Gothic" w:hAnsi="Century Gothic" w:cs="Cambria"/>
          <w:i/>
          <w:sz w:val="16"/>
          <w:szCs w:val="16"/>
        </w:rPr>
      </w:pPr>
      <w:r>
        <w:rPr>
          <w:rFonts w:ascii="Century Gothic" w:hAnsi="Century Gothic" w:cs="Cambria"/>
          <w:i/>
          <w:sz w:val="16"/>
          <w:szCs w:val="16"/>
        </w:rPr>
        <w:t xml:space="preserve">Keterangan </w:t>
      </w:r>
      <w:r>
        <w:rPr>
          <w:rFonts w:ascii="Century Gothic" w:hAnsi="Century Gothic" w:cs="Cambria"/>
          <w:i/>
          <w:sz w:val="16"/>
          <w:szCs w:val="16"/>
        </w:rPr>
        <w:tab/>
        <w:t>:</w:t>
      </w:r>
      <w:r>
        <w:rPr>
          <w:rFonts w:ascii="Century Gothic" w:hAnsi="Century Gothic" w:cs="Cambria"/>
          <w:i/>
          <w:sz w:val="16"/>
          <w:szCs w:val="16"/>
        </w:rPr>
        <w:tab/>
        <w:t xml:space="preserve"> </w:t>
      </w:r>
      <w:r w:rsidRPr="0011231A">
        <w:rPr>
          <w:rFonts w:ascii="Century Gothic" w:hAnsi="Century Gothic" w:cs="Cambria"/>
          <w:i/>
          <w:sz w:val="16"/>
          <w:szCs w:val="16"/>
        </w:rPr>
        <w:t xml:space="preserve">KEM = Kebijakan Ekonomi Makro, KF = Kebijakan Fiskal </w:t>
      </w:r>
    </w:p>
    <w:p w:rsidR="009B16D6" w:rsidRDefault="0011231A" w:rsidP="009B16D6">
      <w:pPr>
        <w:autoSpaceDE w:val="0"/>
        <w:autoSpaceDN w:val="0"/>
        <w:adjustRightInd w:val="0"/>
        <w:spacing w:after="0" w:line="360" w:lineRule="auto"/>
        <w:ind w:firstLine="720"/>
        <w:jc w:val="both"/>
        <w:rPr>
          <w:rFonts w:ascii="Century Gothic" w:hAnsi="Century Gothic" w:cs="Georgia"/>
          <w:sz w:val="20"/>
          <w:szCs w:val="20"/>
        </w:rPr>
      </w:pPr>
      <w:r w:rsidRPr="0011231A">
        <w:rPr>
          <w:rFonts w:ascii="Century Gothic" w:hAnsi="Century Gothic" w:cs="Bookman Old Style"/>
          <w:color w:val="000000" w:themeColor="text1"/>
          <w:sz w:val="20"/>
          <w:szCs w:val="20"/>
        </w:rPr>
        <w:lastRenderedPageBreak/>
        <w:t xml:space="preserve">Kerangka Ekonomi Makro dan Kebijakan Fiskal Tahun 2016, Pemerintah Pusat telah menyusun asumsi dasar ekonomi makro tahun 2016 Asumsi dasar ekonomi makro tersebut selanjutnya menjadi dasar penyusunan Rancangan Anggaran Pendapatan dan Belanja Negara (RAPBN) Tahun 2016. </w:t>
      </w:r>
      <w:r w:rsidR="00E424B6" w:rsidRPr="00254517">
        <w:rPr>
          <w:rFonts w:ascii="Century Gothic" w:hAnsi="Century Gothic" w:cs="Georgia"/>
          <w:sz w:val="20"/>
          <w:szCs w:val="20"/>
          <w:lang w:val="id-ID"/>
        </w:rPr>
        <w:t xml:space="preserve">Pada tahun 2016, Perbaikan ekonomi nasional ditopang baik dari faktor eksternal maupun internal. Dari sisi eksternal, perkiraan membaiknya kinerja ekonomi global diharapkan menjadi faktor yang kondusif mendorong penguatan ekonomi nasional. Sementara dari sisi domestik, terjaganya laju inflasi serta berbagai kebijakan Pemerintah </w:t>
      </w:r>
      <w:r w:rsidR="00254517" w:rsidRPr="00254517">
        <w:rPr>
          <w:rFonts w:ascii="Century Gothic" w:hAnsi="Century Gothic" w:cs="Georgia"/>
          <w:sz w:val="20"/>
          <w:szCs w:val="20"/>
        </w:rPr>
        <w:t>diantaranya</w:t>
      </w:r>
      <w:r w:rsidR="00254517" w:rsidRPr="00254517">
        <w:rPr>
          <w:rFonts w:ascii="Century Gothic" w:hAnsi="Century Gothic" w:cs="Georgia"/>
          <w:sz w:val="20"/>
          <w:szCs w:val="20"/>
          <w:lang w:val="id-ID"/>
        </w:rPr>
        <w:t xml:space="preserve"> mendorong peningkatan belanja infrastruktur secara signifikan </w:t>
      </w:r>
      <w:r w:rsidR="00E424B6" w:rsidRPr="00254517">
        <w:rPr>
          <w:rFonts w:ascii="Century Gothic" w:hAnsi="Century Gothic" w:cs="Georgia"/>
          <w:sz w:val="20"/>
          <w:szCs w:val="20"/>
          <w:lang w:val="id-ID"/>
        </w:rPr>
        <w:t>yang telah diluncurkan diharapkan dapat menjadi faktor positif yang dapat mendorong penguatan permintaan domestik.</w:t>
      </w:r>
      <w:r w:rsidR="009B16D6">
        <w:rPr>
          <w:rFonts w:ascii="Century Gothic" w:hAnsi="Century Gothic" w:cs="Georgia"/>
          <w:sz w:val="20"/>
          <w:szCs w:val="20"/>
        </w:rPr>
        <w:t xml:space="preserve"> </w:t>
      </w:r>
    </w:p>
    <w:p w:rsidR="009B16D6" w:rsidRDefault="009B16D6" w:rsidP="009B16D6">
      <w:pPr>
        <w:autoSpaceDE w:val="0"/>
        <w:autoSpaceDN w:val="0"/>
        <w:adjustRightInd w:val="0"/>
        <w:spacing w:after="0" w:line="360" w:lineRule="auto"/>
        <w:ind w:firstLine="720"/>
        <w:jc w:val="both"/>
        <w:rPr>
          <w:rFonts w:ascii="Century Gothic" w:hAnsi="Century Gothic" w:cs="Georgia"/>
          <w:sz w:val="20"/>
          <w:szCs w:val="20"/>
        </w:rPr>
      </w:pPr>
      <w:r>
        <w:rPr>
          <w:rFonts w:ascii="Century Gothic" w:hAnsi="Century Gothic" w:cs="Georgia"/>
          <w:sz w:val="20"/>
          <w:szCs w:val="20"/>
        </w:rPr>
        <w:t xml:space="preserve">Adapun </w:t>
      </w:r>
      <w:r w:rsidRPr="009B16D6">
        <w:rPr>
          <w:rFonts w:ascii="Century Gothic" w:hAnsi="Century Gothic" w:cs="Georgia"/>
          <w:sz w:val="20"/>
          <w:szCs w:val="20"/>
          <w:lang w:val="id-ID"/>
        </w:rPr>
        <w:t xml:space="preserve">Suku bunga </w:t>
      </w:r>
      <w:r w:rsidRPr="0011231A">
        <w:rPr>
          <w:rFonts w:ascii="Century Gothic" w:hAnsi="Century Gothic" w:cs="Cambria"/>
          <w:sz w:val="18"/>
          <w:szCs w:val="18"/>
        </w:rPr>
        <w:t>Surat Perbendaharaan Negara (SPN)</w:t>
      </w:r>
      <w:r w:rsidRPr="009B16D6">
        <w:rPr>
          <w:rFonts w:ascii="Century Gothic" w:hAnsi="Century Gothic" w:cs="Georgia"/>
          <w:sz w:val="20"/>
          <w:szCs w:val="20"/>
          <w:lang w:val="id-ID"/>
        </w:rPr>
        <w:t xml:space="preserve"> 3 bulan pada tahun 2016 diperkirakan akan berpotensi mendapat tekanan dari dampak krisis Yunani serta risiko kenaikan suku bunga The Fed fund rate (FFR) di Amerika Serikat. Namun demikian, tekanan tersebut diperkirakan lebih moderat dibandingkan tekanan pada tahun 2015. Dari sisi domestik, salah satu faktor yang berpotensi memengaruhi pergerakan suku bunga SPN adalah laju inflasi yang diperkirakan berada pada tingkat yang cukup stabil. </w:t>
      </w:r>
      <w:r>
        <w:rPr>
          <w:rFonts w:ascii="Century Gothic" w:hAnsi="Century Gothic" w:cs="Georgia"/>
          <w:sz w:val="20"/>
          <w:szCs w:val="20"/>
        </w:rPr>
        <w:t xml:space="preserve"> </w:t>
      </w:r>
      <w:r w:rsidR="00E424B6" w:rsidRPr="00254517">
        <w:rPr>
          <w:rFonts w:ascii="Century Gothic" w:hAnsi="Century Gothic" w:cs="Georgia"/>
          <w:sz w:val="20"/>
          <w:szCs w:val="20"/>
          <w:lang w:val="id-ID"/>
        </w:rPr>
        <w:t xml:space="preserve">Kondisi ekonomi global yang diperkirakan masih menghadapi beberapa risiko menjadi salah satu penyebab inflasi yang berasal dari faktor eksternal. Sementara itu, harga komoditas energi di pasar global diperkirakan belum akan mengalami kenaikan signifikan dibandingkan dengan tahun 2015. Faktor lain yang memengaruhi laju inflasi adalah pergerakan nilai tukar rupiah terhadap dolar Amerika Serikat. Di samping itu, pada tahun 2016 juga terdapat potensi faktor internal inflasi yang berasal dari </w:t>
      </w:r>
      <w:r w:rsidR="00E424B6" w:rsidRPr="00254517">
        <w:rPr>
          <w:rFonts w:ascii="Century Gothic" w:hAnsi="Century Gothic" w:cs="Georgia-Italic"/>
          <w:i/>
          <w:iCs/>
          <w:sz w:val="20"/>
          <w:szCs w:val="20"/>
          <w:lang w:val="id-ID"/>
        </w:rPr>
        <w:t>administered price</w:t>
      </w:r>
      <w:r w:rsidR="00E424B6" w:rsidRPr="00254517">
        <w:rPr>
          <w:rFonts w:ascii="Century Gothic" w:hAnsi="Century Gothic" w:cs="Georgia"/>
          <w:sz w:val="20"/>
          <w:szCs w:val="20"/>
          <w:lang w:val="id-ID"/>
        </w:rPr>
        <w:t xml:space="preserve">, faktor musiman, dan iklim yang diperkirakan mendominasi pergerakan inflasi. </w:t>
      </w:r>
      <w:r>
        <w:rPr>
          <w:rFonts w:ascii="Century Gothic" w:hAnsi="Century Gothic" w:cs="Georgia"/>
          <w:sz w:val="20"/>
          <w:szCs w:val="20"/>
        </w:rPr>
        <w:t xml:space="preserve"> </w:t>
      </w:r>
    </w:p>
    <w:p w:rsidR="009B16D6" w:rsidRPr="009B16D6" w:rsidRDefault="009B16D6" w:rsidP="009B16D6">
      <w:pPr>
        <w:autoSpaceDE w:val="0"/>
        <w:autoSpaceDN w:val="0"/>
        <w:adjustRightInd w:val="0"/>
        <w:spacing w:after="0" w:line="360" w:lineRule="auto"/>
        <w:ind w:firstLine="720"/>
        <w:jc w:val="both"/>
        <w:rPr>
          <w:rFonts w:ascii="Century Gothic" w:hAnsi="Century Gothic" w:cs="Georgia"/>
          <w:sz w:val="20"/>
          <w:szCs w:val="20"/>
          <w:lang w:val="id-ID"/>
        </w:rPr>
      </w:pPr>
      <w:r>
        <w:rPr>
          <w:rFonts w:ascii="Century Gothic" w:hAnsi="Century Gothic" w:cs="Georgia"/>
          <w:sz w:val="20"/>
          <w:szCs w:val="20"/>
        </w:rPr>
        <w:t xml:space="preserve">Kemudian </w:t>
      </w:r>
      <w:r w:rsidR="00E424B6" w:rsidRPr="009B16D6">
        <w:rPr>
          <w:rFonts w:ascii="Century Gothic" w:hAnsi="Century Gothic" w:cs="Georgia"/>
          <w:sz w:val="20"/>
          <w:szCs w:val="20"/>
          <w:lang w:val="id-ID"/>
        </w:rPr>
        <w:t xml:space="preserve">Pergerakan nilai tukar rupiah pada tahun 2016 diperkirakan berpotensi mengalami tekanan, terutama yang bersumber </w:t>
      </w:r>
      <w:proofErr w:type="gramStart"/>
      <w:r w:rsidR="00E424B6" w:rsidRPr="009B16D6">
        <w:rPr>
          <w:rFonts w:ascii="Century Gothic" w:hAnsi="Century Gothic" w:cs="Georgia"/>
          <w:sz w:val="20"/>
          <w:szCs w:val="20"/>
          <w:lang w:val="id-ID"/>
        </w:rPr>
        <w:t>dari  kondisi</w:t>
      </w:r>
      <w:proofErr w:type="gramEnd"/>
      <w:r w:rsidR="00E424B6" w:rsidRPr="009B16D6">
        <w:rPr>
          <w:rFonts w:ascii="Century Gothic" w:hAnsi="Century Gothic" w:cs="Georgia"/>
          <w:sz w:val="20"/>
          <w:szCs w:val="20"/>
          <w:lang w:val="id-ID"/>
        </w:rPr>
        <w:t xml:space="preserve"> perekonomian global. Namun demikian, tekanan tersebut diperkirakan akan lebih moderat dibandingkan tekanan yang terjadi pada tahun 2015, seiring dengan bauran kebijakan fiskal, moneter, maupun sistem keuangan dalam memperbaiki kondisi fundamental ekonomi Indonesia. Pemulihan ekonomi dunia yang terus berlanjut pada tahun 2016 diperkirakan akan mendorong permintaan energi, khususnya minyak dunia. OPEC memperkirakan permintaan minyak dunia sampai dengan akhir tahun 2016 mengalami pertumbuhan sebesar 1,4 persen, yaitu dari 92,6juta barel per hari pada tahun 2015 menjadi 93,9 juta barel per hari pada tahun 2016. </w:t>
      </w:r>
      <w:r>
        <w:rPr>
          <w:rFonts w:ascii="Century Gothic" w:hAnsi="Century Gothic" w:cs="Georgia"/>
          <w:sz w:val="20"/>
          <w:szCs w:val="20"/>
        </w:rPr>
        <w:t xml:space="preserve"> </w:t>
      </w:r>
      <w:r w:rsidR="00E424B6" w:rsidRPr="009B16D6">
        <w:rPr>
          <w:rFonts w:ascii="Century Gothic" w:hAnsi="Century Gothic" w:cs="Georgia"/>
          <w:sz w:val="20"/>
          <w:szCs w:val="20"/>
          <w:lang w:val="id-ID"/>
        </w:rPr>
        <w:t xml:space="preserve">Lifting minyak dan gas bumi pada tahun 2016 diperkirakan tidak mengalami perubahan yang signifikan. Hal tersebut disebabkan oleh penurunan produksi minyak bumi, karena sebagian besar sumur-sumur yang beroperasi saat ini adalah sumur tua, sementara kegiatan investasi di </w:t>
      </w:r>
      <w:r w:rsidR="00E424B6" w:rsidRPr="009B16D6">
        <w:rPr>
          <w:rFonts w:ascii="Century Gothic" w:hAnsi="Century Gothic" w:cs="Georgia"/>
          <w:sz w:val="20"/>
          <w:szCs w:val="20"/>
          <w:lang w:val="id-ID"/>
        </w:rPr>
        <w:lastRenderedPageBreak/>
        <w:t xml:space="preserve">sektor migas masih rendah akibat tingginya biaya eksplorasi. Untuk meningkatkan lifting minyak dan gas bumi, Pemerintah terus mendorong kontraktor kontrak kerja sama (KKKS) migas untuk terus meningkatkan tingkat produksinya </w:t>
      </w:r>
    </w:p>
    <w:p w:rsidR="00E424B6" w:rsidRPr="009B16D6" w:rsidRDefault="009B16D6" w:rsidP="009B16D6">
      <w:pPr>
        <w:autoSpaceDE w:val="0"/>
        <w:autoSpaceDN w:val="0"/>
        <w:adjustRightInd w:val="0"/>
        <w:spacing w:after="0" w:line="360" w:lineRule="auto"/>
        <w:ind w:firstLine="720"/>
        <w:jc w:val="both"/>
        <w:rPr>
          <w:rFonts w:ascii="Century Gothic" w:hAnsi="Century Gothic" w:cs="Georgia"/>
          <w:sz w:val="20"/>
          <w:szCs w:val="20"/>
          <w:lang w:val="id-ID"/>
        </w:rPr>
      </w:pPr>
      <w:r w:rsidRPr="009B16D6">
        <w:rPr>
          <w:rFonts w:ascii="Century Gothic" w:hAnsi="Century Gothic" w:cs="Georgia"/>
          <w:sz w:val="20"/>
          <w:szCs w:val="20"/>
          <w:lang w:val="id-ID"/>
        </w:rPr>
        <w:t>Prospek social ekonomi masyarakat Indonesia s</w:t>
      </w:r>
      <w:r w:rsidR="00E424B6" w:rsidRPr="009B16D6">
        <w:rPr>
          <w:rFonts w:ascii="Century Gothic" w:hAnsi="Century Gothic" w:cs="Georgia"/>
          <w:sz w:val="20"/>
          <w:szCs w:val="20"/>
          <w:lang w:val="id-ID"/>
        </w:rPr>
        <w:t xml:space="preserve">ebagaimana tertuang dalam RKP tahun 2016, </w:t>
      </w:r>
      <w:r w:rsidR="00B93147">
        <w:rPr>
          <w:rFonts w:ascii="Century Gothic" w:hAnsi="Century Gothic" w:cs="Georgia"/>
          <w:sz w:val="20"/>
          <w:szCs w:val="20"/>
        </w:rPr>
        <w:t>mengara</w:t>
      </w:r>
      <w:r w:rsidRPr="009B16D6">
        <w:rPr>
          <w:rFonts w:ascii="Century Gothic" w:hAnsi="Century Gothic" w:cs="Georgia"/>
          <w:sz w:val="20"/>
          <w:szCs w:val="20"/>
          <w:lang w:val="id-ID"/>
        </w:rPr>
        <w:t>h</w:t>
      </w:r>
      <w:r w:rsidR="00B93147">
        <w:rPr>
          <w:rFonts w:ascii="Century Gothic" w:hAnsi="Century Gothic" w:cs="Georgia"/>
          <w:sz w:val="20"/>
          <w:szCs w:val="20"/>
        </w:rPr>
        <w:t>kan</w:t>
      </w:r>
      <w:r w:rsidRPr="009B16D6">
        <w:rPr>
          <w:rFonts w:ascii="Century Gothic" w:hAnsi="Century Gothic" w:cs="Georgia"/>
          <w:sz w:val="20"/>
          <w:szCs w:val="20"/>
          <w:lang w:val="id-ID"/>
        </w:rPr>
        <w:t xml:space="preserve"> kebijakan dalam penanggulangan kemiskinan </w:t>
      </w:r>
      <w:r w:rsidR="00B93147">
        <w:rPr>
          <w:rFonts w:ascii="Century Gothic" w:hAnsi="Century Gothic" w:cs="Georgia"/>
          <w:sz w:val="20"/>
          <w:szCs w:val="20"/>
        </w:rPr>
        <w:t xml:space="preserve">pada Upaya </w:t>
      </w:r>
      <w:r w:rsidRPr="009B16D6">
        <w:rPr>
          <w:rFonts w:ascii="Century Gothic" w:hAnsi="Century Gothic" w:cs="Georgia"/>
          <w:sz w:val="20"/>
          <w:szCs w:val="20"/>
          <w:lang w:val="id-ID"/>
        </w:rPr>
        <w:t xml:space="preserve">membangun landasan yang kuat agar ekonomi tumbuh menghasilkan kesempatan kerja yang berkualitas, penyelenggaraan perlindungan sosial yang komprehensif, pengembangan penghidupan berkelanjutan, serta perluasan dan peningkatan pelayanan dasar. Di samping strategi tersebut, di tahun 2016 Pemerintah tetap mempertahankan kebijakan yang sudah berjalan seperti raskin, akses kesehatan melalui Kartu Indonesia Sehat (KIS), akses pendidikan (Kartu Indonesia Pintar), dan pemberian uang tunai bersyarat. </w:t>
      </w:r>
      <w:r>
        <w:rPr>
          <w:rFonts w:ascii="Century Gothic" w:hAnsi="Century Gothic" w:cs="Georgia"/>
          <w:sz w:val="20"/>
          <w:szCs w:val="20"/>
        </w:rPr>
        <w:t>Dibdang K</w:t>
      </w:r>
      <w:r w:rsidR="00E424B6" w:rsidRPr="009B16D6">
        <w:rPr>
          <w:rFonts w:ascii="Century Gothic" w:hAnsi="Century Gothic" w:cs="Georgia"/>
          <w:sz w:val="20"/>
          <w:szCs w:val="20"/>
          <w:lang w:val="id-ID"/>
        </w:rPr>
        <w:t>etenagakerjaan adalah penurunan tingkat pengangguran terbuka (TPT) menjadi sebesar 5</w:t>
      </w:r>
      <w:proofErr w:type="gramStart"/>
      <w:r w:rsidR="00E424B6" w:rsidRPr="009B16D6">
        <w:rPr>
          <w:rFonts w:ascii="Century Gothic" w:hAnsi="Century Gothic" w:cs="Georgia"/>
          <w:sz w:val="20"/>
          <w:szCs w:val="20"/>
          <w:lang w:val="id-ID"/>
        </w:rPr>
        <w:t>,2</w:t>
      </w:r>
      <w:proofErr w:type="gramEnd"/>
      <w:r w:rsidR="00E424B6" w:rsidRPr="009B16D6">
        <w:rPr>
          <w:rFonts w:ascii="Century Gothic" w:hAnsi="Century Gothic" w:cs="Georgia"/>
          <w:sz w:val="20"/>
          <w:szCs w:val="20"/>
          <w:lang w:val="id-ID"/>
        </w:rPr>
        <w:t xml:space="preserve">-5,5 persen. Sedangkan sasaran utama di bidang ketenagakerjaan adalah peningkatan efisiensi pasar tenaga kerja yang merupakan salah satu kunci keberhasilan peningkatan investasi produktif. Pemerintah telah menetapkan sasaran angka kemiskinan pada tahun 2016 sebesar 9,0-10,0 persen. </w:t>
      </w:r>
    </w:p>
    <w:p w:rsidR="00281F68" w:rsidRPr="009B16D6" w:rsidRDefault="00281F68" w:rsidP="00281F68">
      <w:pPr>
        <w:autoSpaceDE w:val="0"/>
        <w:autoSpaceDN w:val="0"/>
        <w:adjustRightInd w:val="0"/>
        <w:spacing w:after="0" w:line="240" w:lineRule="auto"/>
        <w:rPr>
          <w:rFonts w:ascii="Century Gothic" w:hAnsi="Century Gothic" w:cs="Georgia"/>
          <w:sz w:val="20"/>
          <w:szCs w:val="20"/>
          <w:lang w:val="id-ID"/>
        </w:rPr>
      </w:pPr>
    </w:p>
    <w:p w:rsidR="00281F68" w:rsidRDefault="00281F68" w:rsidP="00281F68">
      <w:pPr>
        <w:autoSpaceDE w:val="0"/>
        <w:autoSpaceDN w:val="0"/>
        <w:adjustRightInd w:val="0"/>
        <w:spacing w:after="0" w:line="240" w:lineRule="auto"/>
        <w:rPr>
          <w:rFonts w:ascii="Cambria" w:hAnsi="Cambria" w:cs="Cambria"/>
        </w:rPr>
      </w:pPr>
    </w:p>
    <w:p w:rsidR="000C667E" w:rsidRPr="00FC09EB" w:rsidRDefault="00B74070" w:rsidP="00F8160D">
      <w:pPr>
        <w:pStyle w:val="Heading4"/>
        <w:numPr>
          <w:ilvl w:val="3"/>
          <w:numId w:val="3"/>
        </w:numPr>
        <w:spacing w:line="360" w:lineRule="auto"/>
        <w:rPr>
          <w:rFonts w:ascii="Arial Black" w:hAnsi="Arial Black"/>
          <w:i w:val="0"/>
          <w:noProof/>
          <w:sz w:val="22"/>
          <w:szCs w:val="22"/>
        </w:rPr>
      </w:pPr>
      <w:r w:rsidRPr="00FC09EB">
        <w:rPr>
          <w:rFonts w:ascii="Arial Black" w:hAnsi="Arial Black"/>
          <w:i w:val="0"/>
          <w:noProof/>
          <w:sz w:val="22"/>
          <w:szCs w:val="22"/>
        </w:rPr>
        <w:t xml:space="preserve">Tantangan </w:t>
      </w:r>
      <w:r w:rsidR="000C667E" w:rsidRPr="00FC09EB">
        <w:rPr>
          <w:rFonts w:ascii="Arial Black" w:hAnsi="Arial Black"/>
          <w:i w:val="0"/>
          <w:noProof/>
          <w:sz w:val="22"/>
          <w:szCs w:val="22"/>
        </w:rPr>
        <w:t xml:space="preserve">Regional </w:t>
      </w:r>
      <w:r w:rsidRPr="00FC09EB">
        <w:rPr>
          <w:rFonts w:ascii="Arial Black" w:hAnsi="Arial Black"/>
          <w:i w:val="0"/>
          <w:noProof/>
          <w:sz w:val="22"/>
          <w:szCs w:val="22"/>
        </w:rPr>
        <w:t xml:space="preserve">Provinsi </w:t>
      </w:r>
      <w:r w:rsidR="000C667E" w:rsidRPr="00FC09EB">
        <w:rPr>
          <w:rFonts w:ascii="Arial Black" w:hAnsi="Arial Black"/>
          <w:i w:val="0"/>
          <w:noProof/>
          <w:sz w:val="22"/>
          <w:szCs w:val="22"/>
        </w:rPr>
        <w:t xml:space="preserve">Sulawesi Tenggara </w:t>
      </w:r>
    </w:p>
    <w:p w:rsidR="00EA4A62" w:rsidRPr="00B74070" w:rsidRDefault="00EA4A62" w:rsidP="00B74070">
      <w:pPr>
        <w:autoSpaceDE w:val="0"/>
        <w:autoSpaceDN w:val="0"/>
        <w:adjustRightInd w:val="0"/>
        <w:spacing w:after="0" w:line="360" w:lineRule="auto"/>
        <w:ind w:firstLine="851"/>
        <w:jc w:val="both"/>
        <w:rPr>
          <w:rFonts w:ascii="Century Gothic" w:hAnsi="Century Gothic" w:cs="Georgia"/>
          <w:sz w:val="20"/>
          <w:szCs w:val="20"/>
          <w:lang w:val="id-ID"/>
        </w:rPr>
      </w:pPr>
      <w:r w:rsidRPr="00B74070">
        <w:rPr>
          <w:rFonts w:ascii="Century Gothic" w:hAnsi="Century Gothic" w:cs="Georgia"/>
          <w:sz w:val="20"/>
          <w:szCs w:val="20"/>
          <w:lang w:val="id-ID"/>
        </w:rPr>
        <w:t>Prospek ekonomi Sulawesi Tenggara berdasarkan beberapa indikator pendukung, hasil survei dan liaison (Beberapa Lembaga Pemerintah: BPS, BI), pertumbuhan ekonomi Sulawesi Tenggara pada triwulan I 2015 diprakirakan berada pada kisaran 7,2% - 7,6% (yoy)  Peningkatan tersebut diperkirakan didorong oleh peningkatan kinerja sektor pertambangan, sektor industri pengolahan dan sektor konstruksi. Hal tersebut juga sejalan dengan perkiraan membaiknya kondisi perekonomian global, khususnya pada negara tujuan ekspor komoditas utama Sulawesi Tenggara.</w:t>
      </w:r>
    </w:p>
    <w:p w:rsidR="00EA4A62" w:rsidRPr="00B74070" w:rsidRDefault="00EA4A62" w:rsidP="00B74070">
      <w:pPr>
        <w:autoSpaceDE w:val="0"/>
        <w:autoSpaceDN w:val="0"/>
        <w:adjustRightInd w:val="0"/>
        <w:spacing w:after="0" w:line="360" w:lineRule="auto"/>
        <w:ind w:firstLine="851"/>
        <w:jc w:val="both"/>
        <w:rPr>
          <w:rFonts w:ascii="Century Gothic" w:hAnsi="Century Gothic" w:cs="Georgia"/>
          <w:sz w:val="20"/>
          <w:szCs w:val="20"/>
          <w:lang w:val="id-ID"/>
        </w:rPr>
      </w:pPr>
      <w:r w:rsidRPr="00B74070">
        <w:rPr>
          <w:rFonts w:ascii="Century Gothic" w:hAnsi="Century Gothic" w:cs="Georgia"/>
          <w:sz w:val="20"/>
          <w:szCs w:val="20"/>
          <w:lang w:val="id-ID"/>
        </w:rPr>
        <w:t xml:space="preserve"> Sehubungan dengan hal itu maka perekonomian Sulawesi Tengara diperkirakan tetap akan mengalami peningkatan pada tahun 2015 dan 2016, karena pertimbangan-pertimbangan sebagai berikut :</w:t>
      </w:r>
    </w:p>
    <w:p w:rsidR="00EA4A62" w:rsidRPr="00B74070" w:rsidRDefault="00EA4A62" w:rsidP="00F8160D">
      <w:pPr>
        <w:numPr>
          <w:ilvl w:val="0"/>
          <w:numId w:val="4"/>
        </w:numPr>
        <w:tabs>
          <w:tab w:val="clear" w:pos="810"/>
        </w:tabs>
        <w:spacing w:after="0" w:line="360" w:lineRule="auto"/>
        <w:ind w:left="450"/>
        <w:jc w:val="both"/>
        <w:rPr>
          <w:rFonts w:ascii="Century Gothic" w:hAnsi="Century Gothic" w:cs="Georgia"/>
          <w:sz w:val="20"/>
          <w:szCs w:val="20"/>
          <w:lang w:val="id-ID"/>
        </w:rPr>
      </w:pPr>
      <w:r w:rsidRPr="00B74070">
        <w:rPr>
          <w:rFonts w:ascii="Century Gothic" w:hAnsi="Century Gothic" w:cs="Georgia"/>
          <w:sz w:val="20"/>
          <w:szCs w:val="20"/>
          <w:lang w:val="id-ID"/>
        </w:rPr>
        <w:t xml:space="preserve">Sarana dan prasarana infrastruktur dasar seperti pelabuhan, listrik dan kualitas jalan yang terus semakin baik, yang dapat membuka aksesibilitas wilayah dalam upaya akselerasi percepatan pembangunan ekonomi daerah. </w:t>
      </w:r>
    </w:p>
    <w:p w:rsidR="00EA4A62" w:rsidRPr="00B74070" w:rsidRDefault="00EA4A62" w:rsidP="00F8160D">
      <w:pPr>
        <w:numPr>
          <w:ilvl w:val="0"/>
          <w:numId w:val="4"/>
        </w:numPr>
        <w:tabs>
          <w:tab w:val="clear" w:pos="810"/>
        </w:tabs>
        <w:spacing w:after="0" w:line="360" w:lineRule="auto"/>
        <w:ind w:left="450"/>
        <w:jc w:val="both"/>
        <w:rPr>
          <w:rFonts w:ascii="Century Gothic" w:hAnsi="Century Gothic" w:cs="Georgia"/>
          <w:sz w:val="20"/>
          <w:szCs w:val="20"/>
          <w:lang w:val="id-ID"/>
        </w:rPr>
      </w:pPr>
      <w:r w:rsidRPr="00B74070">
        <w:rPr>
          <w:rFonts w:ascii="Century Gothic" w:hAnsi="Century Gothic" w:cs="Georgia"/>
          <w:sz w:val="20"/>
          <w:szCs w:val="20"/>
          <w:lang w:val="id-ID"/>
        </w:rPr>
        <w:t xml:space="preserve">Kebijakan pengembangan klaster prioritas dalam pemanfaatan potensi sumberdaya alam terutama sektor pertambangan dan pertanian dalam arti luas untuk meningkatkan nilai tambah yang dapat mempercepat pembangunan ekonomi daerah. </w:t>
      </w:r>
    </w:p>
    <w:p w:rsidR="00EA4A62" w:rsidRPr="00B74070" w:rsidRDefault="00EA4A62" w:rsidP="00F8160D">
      <w:pPr>
        <w:numPr>
          <w:ilvl w:val="0"/>
          <w:numId w:val="4"/>
        </w:numPr>
        <w:tabs>
          <w:tab w:val="clear" w:pos="810"/>
        </w:tabs>
        <w:spacing w:after="0" w:line="360" w:lineRule="auto"/>
        <w:ind w:left="450"/>
        <w:jc w:val="both"/>
        <w:rPr>
          <w:rFonts w:ascii="Century Gothic" w:hAnsi="Century Gothic" w:cs="Georgia"/>
          <w:sz w:val="20"/>
          <w:szCs w:val="20"/>
          <w:lang w:val="id-ID"/>
        </w:rPr>
      </w:pPr>
      <w:r w:rsidRPr="00B74070">
        <w:rPr>
          <w:rFonts w:ascii="Century Gothic" w:hAnsi="Century Gothic" w:cs="Georgia"/>
          <w:sz w:val="20"/>
          <w:szCs w:val="20"/>
          <w:lang w:val="id-ID"/>
        </w:rPr>
        <w:lastRenderedPageBreak/>
        <w:t>Kebijakan pengembangan daya saing beberapa komoditas unggulan daerah yang semakin baik dengan pembagian beberapa komoditi berdasarkan klaster, seperti pusat industri pertambangan nikel di Konawe Utara, Kolaka Utara dan Bombana, Pusat Industri Kakao di Ladongi Kolaka, pusat pengembangan perikanan terpadu di Wawonii Konawe Kepulauan, pusat pengembangan Industri Semen di Muna dan Pusat Pengembangan Wisata Wakatobi.</w:t>
      </w:r>
    </w:p>
    <w:p w:rsidR="00EA4A62" w:rsidRPr="00B74070" w:rsidRDefault="00EA4A62" w:rsidP="00B74070">
      <w:pPr>
        <w:autoSpaceDE w:val="0"/>
        <w:autoSpaceDN w:val="0"/>
        <w:adjustRightInd w:val="0"/>
        <w:spacing w:after="0" w:line="360" w:lineRule="auto"/>
        <w:ind w:firstLine="851"/>
        <w:jc w:val="both"/>
        <w:rPr>
          <w:rFonts w:ascii="Century Gothic" w:hAnsi="Century Gothic" w:cs="Georgia"/>
          <w:sz w:val="20"/>
          <w:szCs w:val="20"/>
          <w:lang w:val="id-ID"/>
        </w:rPr>
      </w:pPr>
      <w:r w:rsidRPr="00B74070">
        <w:rPr>
          <w:rFonts w:ascii="Century Gothic" w:hAnsi="Century Gothic" w:cs="Georgia"/>
          <w:sz w:val="20"/>
          <w:szCs w:val="20"/>
          <w:lang w:val="id-ID"/>
        </w:rPr>
        <w:t>Perkembangan pembangunan ekonomi Provinsi Sulawesi Tenggara tahun 2014, yang menunjukkan perkembangan yang berkualitas dan signifikan terhadap tingkat kesejahteraan masyarakat, hal ini ditandai dengan capaian-capaian indikator makro ekonomi yang semakin baik dari tahun ke tahun.Tantangan pembangunan ekonomi Provinsi Sulawesi Tenggara tahun 2014 adalah meningkatkan pertumbuhan ekonomi yang stabil dan berkualitas minimal mengalami pertumbuhan yang berkelanjutan yang mampu meningkatkan pendapatan perkapita masyarakat dan mengurangi pengangguran serta mengurangi tingkat kemiskinan sehingga dapat meningkatkan daya saing perekonomian Sulawesi Tenggara sebagaimana Visi Pembangunan Daerah 2013-2018.</w:t>
      </w:r>
    </w:p>
    <w:p w:rsidR="00EA4A62" w:rsidRPr="00B74070" w:rsidRDefault="00EA4A62" w:rsidP="00B74070">
      <w:pPr>
        <w:autoSpaceDE w:val="0"/>
        <w:autoSpaceDN w:val="0"/>
        <w:adjustRightInd w:val="0"/>
        <w:spacing w:after="0" w:line="360" w:lineRule="auto"/>
        <w:ind w:firstLine="851"/>
        <w:jc w:val="both"/>
        <w:rPr>
          <w:rFonts w:ascii="Century Gothic" w:hAnsi="Century Gothic"/>
          <w:sz w:val="20"/>
          <w:szCs w:val="20"/>
        </w:rPr>
      </w:pPr>
      <w:r w:rsidRPr="00B74070">
        <w:rPr>
          <w:rFonts w:ascii="Century Gothic" w:hAnsi="Century Gothic" w:cs="Georgia"/>
          <w:sz w:val="20"/>
          <w:szCs w:val="20"/>
          <w:lang w:val="id-ID"/>
        </w:rPr>
        <w:t xml:space="preserve">Mempertahankan pertumbuhan di atas rata-rata delapan persen merupakan tantangan pembangunan perekonomian Sulawesi Tenggara. Dalam Bidang Ekonomi, Pemerintah Provinsi Sulawesi Tenggara perlu berupaya untuk mempertahankan pertumbuhan ekonomi di atas delapan persen yang sudah dicapai pada tahun 2010 dan di atas sepuluh persen tahun 2012. Namun pada tahun 2013 dan 2014 pertumbuhan ekonomi mengalami perlambatan hingga mencapai 6,24 persen. Hal ini penting dilakukan untuk dapat mengejar ketertinggalan di Bidang Ekonomi yang saat ini masih relatif kecil dibanding rata-rata provinsi secara nasional. </w:t>
      </w:r>
      <w:r w:rsidRPr="00B74070">
        <w:rPr>
          <w:rFonts w:ascii="Century Gothic" w:hAnsi="Century Gothic" w:cs="Arial"/>
          <w:bCs/>
          <w:sz w:val="20"/>
          <w:szCs w:val="20"/>
        </w:rPr>
        <w:t>Proyeksi</w:t>
      </w:r>
      <w:r w:rsidRPr="00B74070">
        <w:rPr>
          <w:rFonts w:ascii="Century Gothic" w:hAnsi="Century Gothic"/>
          <w:sz w:val="20"/>
          <w:szCs w:val="20"/>
        </w:rPr>
        <w:t xml:space="preserve"> indikator makro ekonomi Provinsi Sulawesi Tenggara ditunjukkan pada tabel </w:t>
      </w:r>
      <w:proofErr w:type="gramStart"/>
      <w:r w:rsidRPr="00B74070">
        <w:rPr>
          <w:rFonts w:ascii="Century Gothic" w:hAnsi="Century Gothic"/>
          <w:sz w:val="20"/>
          <w:szCs w:val="20"/>
        </w:rPr>
        <w:t>berikut :</w:t>
      </w:r>
      <w:proofErr w:type="gramEnd"/>
    </w:p>
    <w:p w:rsidR="00B74070" w:rsidRPr="00B74070" w:rsidRDefault="00EA4A62" w:rsidP="00B74070">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lang w:val="en-US"/>
        </w:rPr>
      </w:pPr>
      <w:bookmarkStart w:id="9" w:name="_Toc395497220"/>
      <w:r w:rsidRPr="00B74070">
        <w:rPr>
          <w:rFonts w:ascii="Century Gothic" w:hAnsi="Century Gothic"/>
          <w:b/>
          <w:sz w:val="20"/>
        </w:rPr>
        <w:t xml:space="preserve">Tabel </w:t>
      </w:r>
      <w:r w:rsidR="00B74070" w:rsidRPr="00B74070">
        <w:rPr>
          <w:rFonts w:ascii="Century Gothic" w:hAnsi="Century Gothic"/>
          <w:b/>
          <w:sz w:val="20"/>
        </w:rPr>
        <w:t>3.</w:t>
      </w:r>
      <w:r w:rsidR="00C64211">
        <w:rPr>
          <w:rFonts w:ascii="Century Gothic" w:hAnsi="Century Gothic"/>
          <w:b/>
          <w:sz w:val="20"/>
          <w:lang w:val="en-US"/>
        </w:rPr>
        <w:t>3</w:t>
      </w:r>
    </w:p>
    <w:p w:rsidR="00EA4A62" w:rsidRPr="00B74070" w:rsidRDefault="00EA4A62" w:rsidP="00B74070">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rPr>
      </w:pPr>
      <w:r w:rsidRPr="00B74070">
        <w:rPr>
          <w:rFonts w:ascii="Century Gothic" w:hAnsi="Century Gothic"/>
          <w:b/>
          <w:sz w:val="20"/>
        </w:rPr>
        <w:t xml:space="preserve">Realisasi Indikator Makro Tahun 2013-2014 dan </w:t>
      </w:r>
      <w:r w:rsidRPr="00B74070">
        <w:rPr>
          <w:rFonts w:ascii="Century Gothic" w:hAnsi="Century Gothic"/>
          <w:b/>
          <w:sz w:val="20"/>
          <w:lang w:val="en-US"/>
        </w:rPr>
        <w:t>Proyeksi Indikator Makro Ekonomi Tahun  2015</w:t>
      </w:r>
      <w:r w:rsidRPr="00B74070">
        <w:rPr>
          <w:rFonts w:ascii="Century Gothic" w:hAnsi="Century Gothic"/>
          <w:b/>
          <w:sz w:val="20"/>
        </w:rPr>
        <w:t>-2</w:t>
      </w:r>
      <w:r w:rsidRPr="00B74070">
        <w:rPr>
          <w:rFonts w:ascii="Century Gothic" w:hAnsi="Century Gothic"/>
          <w:b/>
          <w:sz w:val="20"/>
          <w:lang w:val="en-US"/>
        </w:rPr>
        <w:t>016</w:t>
      </w:r>
      <w:r w:rsidRPr="00B74070">
        <w:rPr>
          <w:rFonts w:ascii="Century Gothic" w:hAnsi="Century Gothic"/>
          <w:b/>
          <w:sz w:val="20"/>
        </w:rPr>
        <w:t xml:space="preserve"> </w:t>
      </w:r>
      <w:r w:rsidRPr="00B74070">
        <w:rPr>
          <w:rFonts w:ascii="Century Gothic" w:hAnsi="Century Gothic"/>
          <w:b/>
          <w:sz w:val="20"/>
          <w:lang w:val="en-US"/>
        </w:rPr>
        <w:t>Provinsi Sulawesi Tenggara</w:t>
      </w:r>
    </w:p>
    <w:tbl>
      <w:tblPr>
        <w:tblW w:w="8594" w:type="dxa"/>
        <w:tblInd w:w="108" w:type="dxa"/>
        <w:tblLook w:val="04A0" w:firstRow="1" w:lastRow="0" w:firstColumn="1" w:lastColumn="0" w:noHBand="0" w:noVBand="1"/>
      </w:tblPr>
      <w:tblGrid>
        <w:gridCol w:w="426"/>
        <w:gridCol w:w="3774"/>
        <w:gridCol w:w="850"/>
        <w:gridCol w:w="896"/>
        <w:gridCol w:w="1373"/>
        <w:gridCol w:w="1275"/>
      </w:tblGrid>
      <w:tr w:rsidR="00FC09EB" w:rsidRPr="00B74070" w:rsidTr="00FC09EB">
        <w:trPr>
          <w:trHeight w:val="20"/>
          <w:tblHeader/>
        </w:trPr>
        <w:tc>
          <w:tcPr>
            <w:tcW w:w="426" w:type="dxa"/>
            <w:vMerge w:val="restart"/>
            <w:tcBorders>
              <w:top w:val="thinThickSmallGap" w:sz="12" w:space="0" w:color="auto"/>
              <w:left w:val="single" w:sz="4" w:space="0" w:color="FFFFFF"/>
              <w:bottom w:val="double" w:sz="6" w:space="0" w:color="000000"/>
              <w:right w:val="single" w:sz="4" w:space="0" w:color="FFFFFF"/>
            </w:tcBorders>
            <w:shd w:val="clear" w:color="auto" w:fill="BDD6EE"/>
            <w:noWrap/>
            <w:vAlign w:val="center"/>
            <w:hideMark/>
          </w:tcPr>
          <w:bookmarkEnd w:id="9"/>
          <w:p w:rsidR="00EA4A62" w:rsidRPr="00B74070" w:rsidRDefault="00FC09EB" w:rsidP="00FC09EB">
            <w:pPr>
              <w:spacing w:after="0" w:line="240" w:lineRule="auto"/>
              <w:ind w:left="-57" w:right="-57"/>
              <w:jc w:val="center"/>
              <w:rPr>
                <w:rFonts w:ascii="Century Gothic" w:hAnsi="Century Gothic"/>
                <w:b/>
                <w:bCs/>
                <w:color w:val="000000"/>
                <w:sz w:val="18"/>
                <w:szCs w:val="18"/>
                <w:lang w:eastAsia="id-ID"/>
              </w:rPr>
            </w:pPr>
            <w:r>
              <w:rPr>
                <w:rFonts w:ascii="Century Gothic" w:hAnsi="Century Gothic"/>
                <w:b/>
                <w:bCs/>
                <w:color w:val="000000"/>
                <w:sz w:val="18"/>
                <w:szCs w:val="18"/>
                <w:lang w:eastAsia="id-ID"/>
              </w:rPr>
              <w:t>No</w:t>
            </w:r>
          </w:p>
        </w:tc>
        <w:tc>
          <w:tcPr>
            <w:tcW w:w="3774" w:type="dxa"/>
            <w:vMerge w:val="restart"/>
            <w:tcBorders>
              <w:top w:val="thinThickSmallGap" w:sz="12" w:space="0" w:color="auto"/>
              <w:left w:val="single" w:sz="4" w:space="0" w:color="FFFFFF"/>
              <w:bottom w:val="double" w:sz="6" w:space="0" w:color="000000"/>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Indikator Makro Ekonomi</w:t>
            </w:r>
          </w:p>
        </w:tc>
        <w:tc>
          <w:tcPr>
            <w:tcW w:w="1746" w:type="dxa"/>
            <w:gridSpan w:val="2"/>
            <w:tcBorders>
              <w:top w:val="thinThickSmallGap" w:sz="12" w:space="0" w:color="auto"/>
              <w:left w:val="single" w:sz="4" w:space="0" w:color="FFFFFF"/>
              <w:bottom w:val="nil"/>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Realisasi</w:t>
            </w:r>
          </w:p>
        </w:tc>
        <w:tc>
          <w:tcPr>
            <w:tcW w:w="2648" w:type="dxa"/>
            <w:gridSpan w:val="2"/>
            <w:tcBorders>
              <w:top w:val="thinThickSmallGap" w:sz="12" w:space="0" w:color="auto"/>
              <w:left w:val="single" w:sz="4" w:space="0" w:color="FFFFFF"/>
              <w:bottom w:val="nil"/>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Proyeksi</w:t>
            </w:r>
          </w:p>
        </w:tc>
      </w:tr>
      <w:tr w:rsidR="00FC09EB" w:rsidRPr="00B74070" w:rsidTr="00FC09EB">
        <w:trPr>
          <w:trHeight w:val="20"/>
          <w:tblHeader/>
        </w:trPr>
        <w:tc>
          <w:tcPr>
            <w:tcW w:w="426" w:type="dxa"/>
            <w:vMerge/>
            <w:tcBorders>
              <w:top w:val="double" w:sz="6" w:space="0" w:color="auto"/>
              <w:left w:val="single" w:sz="4" w:space="0" w:color="FFFFFF"/>
              <w:bottom w:val="double" w:sz="6" w:space="0" w:color="000000"/>
              <w:right w:val="single" w:sz="4" w:space="0" w:color="FFFFFF"/>
            </w:tcBorders>
            <w:shd w:val="clear" w:color="auto" w:fill="BDD6EE"/>
            <w:vAlign w:val="center"/>
            <w:hideMark/>
          </w:tcPr>
          <w:p w:rsidR="00EA4A62" w:rsidRPr="00B74070" w:rsidRDefault="00EA4A62" w:rsidP="00B74070">
            <w:pPr>
              <w:spacing w:after="0" w:line="240" w:lineRule="auto"/>
              <w:rPr>
                <w:rFonts w:ascii="Century Gothic" w:hAnsi="Century Gothic"/>
                <w:b/>
                <w:bCs/>
                <w:color w:val="000000"/>
                <w:sz w:val="18"/>
                <w:szCs w:val="18"/>
                <w:lang w:eastAsia="id-ID"/>
              </w:rPr>
            </w:pPr>
          </w:p>
        </w:tc>
        <w:tc>
          <w:tcPr>
            <w:tcW w:w="3774" w:type="dxa"/>
            <w:vMerge/>
            <w:tcBorders>
              <w:top w:val="double" w:sz="6" w:space="0" w:color="auto"/>
              <w:left w:val="single" w:sz="4" w:space="0" w:color="FFFFFF"/>
              <w:bottom w:val="double" w:sz="6" w:space="0" w:color="000000"/>
              <w:right w:val="single" w:sz="4" w:space="0" w:color="FFFFFF"/>
            </w:tcBorders>
            <w:shd w:val="clear" w:color="auto" w:fill="BDD6EE"/>
            <w:vAlign w:val="center"/>
            <w:hideMark/>
          </w:tcPr>
          <w:p w:rsidR="00EA4A62" w:rsidRPr="00B74070" w:rsidRDefault="00EA4A62" w:rsidP="00B74070">
            <w:pPr>
              <w:spacing w:after="0" w:line="240" w:lineRule="auto"/>
              <w:rPr>
                <w:rFonts w:ascii="Century Gothic" w:hAnsi="Century Gothic"/>
                <w:b/>
                <w:bCs/>
                <w:color w:val="000000"/>
                <w:sz w:val="18"/>
                <w:szCs w:val="18"/>
                <w:lang w:eastAsia="id-ID"/>
              </w:rPr>
            </w:pPr>
          </w:p>
        </w:tc>
        <w:tc>
          <w:tcPr>
            <w:tcW w:w="850" w:type="dxa"/>
            <w:tcBorders>
              <w:top w:val="single" w:sz="4" w:space="0" w:color="auto"/>
              <w:left w:val="single" w:sz="4" w:space="0" w:color="FFFFFF"/>
              <w:bottom w:val="double" w:sz="6" w:space="0" w:color="auto"/>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2013</w:t>
            </w:r>
          </w:p>
        </w:tc>
        <w:tc>
          <w:tcPr>
            <w:tcW w:w="896" w:type="dxa"/>
            <w:tcBorders>
              <w:top w:val="single" w:sz="4" w:space="0" w:color="auto"/>
              <w:left w:val="single" w:sz="4" w:space="0" w:color="FFFFFF"/>
              <w:bottom w:val="double" w:sz="6" w:space="0" w:color="auto"/>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2014</w:t>
            </w:r>
          </w:p>
        </w:tc>
        <w:tc>
          <w:tcPr>
            <w:tcW w:w="1373" w:type="dxa"/>
            <w:tcBorders>
              <w:top w:val="single" w:sz="4" w:space="0" w:color="auto"/>
              <w:left w:val="single" w:sz="4" w:space="0" w:color="FFFFFF"/>
              <w:bottom w:val="double" w:sz="6" w:space="0" w:color="auto"/>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2015</w:t>
            </w:r>
          </w:p>
        </w:tc>
        <w:tc>
          <w:tcPr>
            <w:tcW w:w="1275" w:type="dxa"/>
            <w:tcBorders>
              <w:top w:val="single" w:sz="4" w:space="0" w:color="auto"/>
              <w:left w:val="single" w:sz="4" w:space="0" w:color="FFFFFF"/>
              <w:bottom w:val="double" w:sz="6" w:space="0" w:color="auto"/>
              <w:right w:val="single" w:sz="4" w:space="0" w:color="FFFFFF"/>
            </w:tcBorders>
            <w:shd w:val="clear" w:color="auto" w:fill="BDD6EE"/>
            <w:noWrap/>
            <w:vAlign w:val="center"/>
            <w:hideMark/>
          </w:tcPr>
          <w:p w:rsidR="00EA4A62" w:rsidRPr="00B74070" w:rsidRDefault="00EA4A62" w:rsidP="00B74070">
            <w:pPr>
              <w:spacing w:after="0" w:line="240" w:lineRule="auto"/>
              <w:jc w:val="center"/>
              <w:rPr>
                <w:rFonts w:ascii="Century Gothic" w:hAnsi="Century Gothic"/>
                <w:b/>
                <w:bCs/>
                <w:color w:val="000000"/>
                <w:sz w:val="18"/>
                <w:szCs w:val="18"/>
                <w:lang w:eastAsia="id-ID"/>
              </w:rPr>
            </w:pPr>
            <w:r w:rsidRPr="00B74070">
              <w:rPr>
                <w:rFonts w:ascii="Century Gothic" w:hAnsi="Century Gothic"/>
                <w:b/>
                <w:bCs/>
                <w:color w:val="000000"/>
                <w:sz w:val="18"/>
                <w:szCs w:val="18"/>
                <w:lang w:eastAsia="id-ID"/>
              </w:rPr>
              <w:t>2016</w:t>
            </w:r>
          </w:p>
        </w:tc>
      </w:tr>
      <w:tr w:rsidR="00FC09EB" w:rsidRPr="00B74070" w:rsidTr="00FC09EB">
        <w:trPr>
          <w:trHeight w:val="20"/>
          <w:tblHeader/>
        </w:trPr>
        <w:tc>
          <w:tcPr>
            <w:tcW w:w="426"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w:t>
            </w:r>
          </w:p>
        </w:tc>
        <w:tc>
          <w:tcPr>
            <w:tcW w:w="3774"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ind w:right="176"/>
              <w:rPr>
                <w:rFonts w:ascii="Century Gothic" w:hAnsi="Century Gothic"/>
                <w:color w:val="000000"/>
                <w:sz w:val="18"/>
                <w:szCs w:val="18"/>
                <w:lang w:eastAsia="id-ID"/>
              </w:rPr>
            </w:pPr>
            <w:r w:rsidRPr="00B74070">
              <w:rPr>
                <w:rFonts w:ascii="Century Gothic" w:hAnsi="Century Gothic"/>
                <w:color w:val="000000"/>
                <w:sz w:val="18"/>
                <w:szCs w:val="18"/>
                <w:lang w:eastAsia="id-ID"/>
              </w:rPr>
              <w:t>Tingkat Pertumbuhan Ekonomi</w:t>
            </w:r>
          </w:p>
        </w:tc>
        <w:tc>
          <w:tcPr>
            <w:tcW w:w="850"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7,28</w:t>
            </w:r>
          </w:p>
        </w:tc>
        <w:tc>
          <w:tcPr>
            <w:tcW w:w="896"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6,24</w:t>
            </w:r>
          </w:p>
        </w:tc>
        <w:tc>
          <w:tcPr>
            <w:tcW w:w="1373"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7,20 - 7,60</w:t>
            </w:r>
          </w:p>
        </w:tc>
        <w:tc>
          <w:tcPr>
            <w:tcW w:w="1275" w:type="dxa"/>
            <w:tcBorders>
              <w:top w:val="nil"/>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8,00 - 8,40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w:t>
            </w:r>
          </w:p>
        </w:tc>
        <w:tc>
          <w:tcPr>
            <w:tcW w:w="3774"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PDRB Per Kapita</w:t>
            </w:r>
          </w:p>
        </w:tc>
        <w:tc>
          <w:tcPr>
            <w:tcW w:w="850"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89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127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B74070" w:rsidP="00B74070">
            <w:pPr>
              <w:spacing w:after="0" w:line="240" w:lineRule="auto"/>
              <w:rPr>
                <w:rFonts w:ascii="Century Gothic" w:hAnsi="Century Gothic"/>
                <w:color w:val="000000"/>
                <w:sz w:val="18"/>
                <w:szCs w:val="18"/>
                <w:lang w:eastAsia="id-ID"/>
              </w:rPr>
            </w:pPr>
            <w:proofErr w:type="gramStart"/>
            <w:r w:rsidRPr="00B74070">
              <w:rPr>
                <w:rFonts w:ascii="Century Gothic" w:hAnsi="Century Gothic"/>
                <w:color w:val="000000"/>
                <w:sz w:val="18"/>
                <w:szCs w:val="18"/>
                <w:lang w:eastAsia="id-ID"/>
              </w:rPr>
              <w:t>a</w:t>
            </w:r>
            <w:proofErr w:type="gramEnd"/>
            <w:r w:rsidRPr="00B74070">
              <w:rPr>
                <w:rFonts w:ascii="Century Gothic" w:hAnsi="Century Gothic"/>
                <w:color w:val="000000"/>
                <w:sz w:val="18"/>
                <w:szCs w:val="18"/>
                <w:lang w:eastAsia="id-ID"/>
              </w:rPr>
              <w:t xml:space="preserve">. Atas Harga Berlaku (Juta </w:t>
            </w:r>
            <w:r w:rsidR="00EA4A62" w:rsidRPr="00B74070">
              <w:rPr>
                <w:rFonts w:ascii="Century Gothic" w:hAnsi="Century Gothic"/>
                <w:color w:val="000000"/>
                <w:sz w:val="18"/>
                <w:szCs w:val="18"/>
                <w:lang w:eastAsia="id-ID"/>
              </w:rPr>
              <w:t>R</w:t>
            </w:r>
            <w:r w:rsidRPr="00B74070">
              <w:rPr>
                <w:rFonts w:ascii="Century Gothic" w:hAnsi="Century Gothic"/>
                <w:color w:val="000000"/>
                <w:sz w:val="18"/>
                <w:szCs w:val="18"/>
                <w:lang w:eastAsia="id-ID"/>
              </w:rPr>
              <w:t>p.</w:t>
            </w:r>
            <w:r w:rsidR="00EA4A62" w:rsidRPr="00B74070">
              <w:rPr>
                <w:rFonts w:ascii="Century Gothic" w:hAnsi="Century Gothic"/>
                <w:color w:val="000000"/>
                <w:sz w:val="18"/>
                <w:szCs w:val="18"/>
                <w:lang w:eastAsia="id-ID"/>
              </w:rPr>
              <w:t>)</w:t>
            </w:r>
          </w:p>
        </w:tc>
        <w:tc>
          <w:tcPr>
            <w:tcW w:w="850"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15,52</w:t>
            </w:r>
          </w:p>
        </w:tc>
        <w:tc>
          <w:tcPr>
            <w:tcW w:w="89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17,01</w:t>
            </w:r>
          </w:p>
        </w:tc>
        <w:tc>
          <w:tcPr>
            <w:tcW w:w="1373"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17,50</w:t>
            </w:r>
          </w:p>
        </w:tc>
        <w:tc>
          <w:tcPr>
            <w:tcW w:w="1275"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18,00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proofErr w:type="gramStart"/>
            <w:r w:rsidRPr="00B74070">
              <w:rPr>
                <w:rFonts w:ascii="Century Gothic" w:hAnsi="Century Gothic"/>
                <w:color w:val="000000"/>
                <w:sz w:val="18"/>
                <w:szCs w:val="18"/>
                <w:lang w:eastAsia="id-ID"/>
              </w:rPr>
              <w:t>b</w:t>
            </w:r>
            <w:proofErr w:type="gramEnd"/>
            <w:r w:rsidRPr="00B74070">
              <w:rPr>
                <w:rFonts w:ascii="Century Gothic" w:hAnsi="Century Gothic"/>
                <w:color w:val="000000"/>
                <w:sz w:val="18"/>
                <w:szCs w:val="18"/>
                <w:lang w:eastAsia="id-ID"/>
              </w:rPr>
              <w:t xml:space="preserve">. Atas Harga Konstan (Juta </w:t>
            </w:r>
            <w:r w:rsidR="00B74070" w:rsidRPr="00B74070">
              <w:rPr>
                <w:rFonts w:ascii="Century Gothic" w:hAnsi="Century Gothic"/>
                <w:color w:val="000000"/>
                <w:sz w:val="18"/>
                <w:szCs w:val="18"/>
                <w:lang w:eastAsia="id-ID"/>
              </w:rPr>
              <w:t>Rp.</w:t>
            </w:r>
            <w:r w:rsidRPr="00B74070">
              <w:rPr>
                <w:rFonts w:ascii="Century Gothic" w:hAnsi="Century Gothic"/>
                <w:color w:val="000000"/>
                <w:sz w:val="18"/>
                <w:szCs w:val="18"/>
                <w:lang w:eastAsia="id-ID"/>
              </w:rPr>
              <w:t>)</w:t>
            </w:r>
          </w:p>
        </w:tc>
        <w:tc>
          <w:tcPr>
            <w:tcW w:w="850"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6,04</w:t>
            </w:r>
          </w:p>
        </w:tc>
        <w:tc>
          <w:tcPr>
            <w:tcW w:w="89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6,27</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7,00</w:t>
            </w:r>
          </w:p>
        </w:tc>
        <w:tc>
          <w:tcPr>
            <w:tcW w:w="127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7,50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w:t>
            </w:r>
          </w:p>
        </w:tc>
        <w:tc>
          <w:tcPr>
            <w:tcW w:w="3774"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Tingkat Inflasi</w:t>
            </w:r>
          </w:p>
        </w:tc>
        <w:tc>
          <w:tcPr>
            <w:tcW w:w="850"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4,03</w:t>
            </w:r>
          </w:p>
        </w:tc>
        <w:tc>
          <w:tcPr>
            <w:tcW w:w="89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2,23</w:t>
            </w:r>
          </w:p>
        </w:tc>
        <w:tc>
          <w:tcPr>
            <w:tcW w:w="1373"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3,00 -4,00</w:t>
            </w:r>
          </w:p>
        </w:tc>
        <w:tc>
          <w:tcPr>
            <w:tcW w:w="1275"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4,00 - 4,50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w:t>
            </w:r>
          </w:p>
        </w:tc>
        <w:tc>
          <w:tcPr>
            <w:tcW w:w="3774"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FC09EB" w:rsidRDefault="00EA4A62" w:rsidP="00B74070">
            <w:pPr>
              <w:spacing w:after="0" w:line="240" w:lineRule="auto"/>
              <w:rPr>
                <w:rFonts w:ascii="Century Gothic" w:hAnsi="Century Gothic"/>
                <w:color w:val="000000"/>
                <w:spacing w:val="-6"/>
                <w:sz w:val="18"/>
                <w:szCs w:val="18"/>
                <w:lang w:eastAsia="id-ID"/>
              </w:rPr>
            </w:pPr>
            <w:r w:rsidRPr="00FC09EB">
              <w:rPr>
                <w:rFonts w:ascii="Century Gothic" w:hAnsi="Century Gothic"/>
                <w:color w:val="000000"/>
                <w:spacing w:val="-6"/>
                <w:sz w:val="18"/>
                <w:szCs w:val="18"/>
                <w:lang w:eastAsia="id-ID"/>
              </w:rPr>
              <w:t>Struktur PDRB Pendekatan Pengeluaran (%)</w:t>
            </w:r>
          </w:p>
        </w:tc>
        <w:tc>
          <w:tcPr>
            <w:tcW w:w="850"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89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1373"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1275"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a. Konsumsi Rumah Tangga</w:t>
            </w:r>
          </w:p>
        </w:tc>
        <w:tc>
          <w:tcPr>
            <w:tcW w:w="850"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51,86</w:t>
            </w:r>
          </w:p>
        </w:tc>
        <w:tc>
          <w:tcPr>
            <w:tcW w:w="89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52,85</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51,00</w:t>
            </w:r>
          </w:p>
        </w:tc>
        <w:tc>
          <w:tcPr>
            <w:tcW w:w="127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50,00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b. Konsumsi Pemerintah</w:t>
            </w:r>
          </w:p>
        </w:tc>
        <w:tc>
          <w:tcPr>
            <w:tcW w:w="850"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21,15</w:t>
            </w:r>
          </w:p>
        </w:tc>
        <w:tc>
          <w:tcPr>
            <w:tcW w:w="89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21,70</w:t>
            </w:r>
          </w:p>
        </w:tc>
        <w:tc>
          <w:tcPr>
            <w:tcW w:w="1373"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21,00</w:t>
            </w:r>
          </w:p>
        </w:tc>
        <w:tc>
          <w:tcPr>
            <w:tcW w:w="1275"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20,00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c. PMTB</w:t>
            </w:r>
          </w:p>
        </w:tc>
        <w:tc>
          <w:tcPr>
            <w:tcW w:w="850"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33,77</w:t>
            </w:r>
          </w:p>
        </w:tc>
        <w:tc>
          <w:tcPr>
            <w:tcW w:w="89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33,84</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34,00</w:t>
            </w:r>
          </w:p>
        </w:tc>
        <w:tc>
          <w:tcPr>
            <w:tcW w:w="127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35,00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p>
        </w:tc>
        <w:tc>
          <w:tcPr>
            <w:tcW w:w="3774"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d. Ekspor Netto</w:t>
            </w:r>
          </w:p>
        </w:tc>
        <w:tc>
          <w:tcPr>
            <w:tcW w:w="850"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(6,78)</w:t>
            </w:r>
          </w:p>
        </w:tc>
        <w:tc>
          <w:tcPr>
            <w:tcW w:w="896"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(10,36)</w:t>
            </w:r>
          </w:p>
        </w:tc>
        <w:tc>
          <w:tcPr>
            <w:tcW w:w="1373"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(5,00)</w:t>
            </w:r>
          </w:p>
        </w:tc>
        <w:tc>
          <w:tcPr>
            <w:tcW w:w="1275" w:type="dxa"/>
            <w:tcBorders>
              <w:top w:val="single" w:sz="4" w:space="0" w:color="FFFFFF"/>
              <w:left w:val="single" w:sz="4" w:space="0" w:color="FFFFFF"/>
              <w:bottom w:val="single" w:sz="4" w:space="0" w:color="FFFFFF"/>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(4,00)</w:t>
            </w:r>
          </w:p>
        </w:tc>
      </w:tr>
      <w:tr w:rsidR="00FC09EB" w:rsidRPr="00B74070" w:rsidTr="00FC09EB">
        <w:trPr>
          <w:trHeight w:val="20"/>
          <w:tblHeader/>
        </w:trPr>
        <w:tc>
          <w:tcPr>
            <w:tcW w:w="42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5.</w:t>
            </w:r>
          </w:p>
        </w:tc>
        <w:tc>
          <w:tcPr>
            <w:tcW w:w="3774"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Jumlah Penduduk Miskin (%)</w:t>
            </w:r>
          </w:p>
        </w:tc>
        <w:tc>
          <w:tcPr>
            <w:tcW w:w="850"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13,06</w:t>
            </w:r>
          </w:p>
        </w:tc>
        <w:tc>
          <w:tcPr>
            <w:tcW w:w="89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12,83</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13,00 -12,50</w:t>
            </w:r>
          </w:p>
        </w:tc>
        <w:tc>
          <w:tcPr>
            <w:tcW w:w="127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12,50 -11,50</w:t>
            </w:r>
          </w:p>
        </w:tc>
      </w:tr>
      <w:tr w:rsidR="00FC09EB" w:rsidRPr="00B74070" w:rsidTr="00FC09EB">
        <w:trPr>
          <w:trHeight w:val="20"/>
          <w:tblHeader/>
        </w:trPr>
        <w:tc>
          <w:tcPr>
            <w:tcW w:w="426"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6.</w:t>
            </w:r>
          </w:p>
        </w:tc>
        <w:tc>
          <w:tcPr>
            <w:tcW w:w="3774"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rPr>
                <w:rFonts w:ascii="Century Gothic" w:hAnsi="Century Gothic"/>
                <w:color w:val="000000"/>
                <w:sz w:val="18"/>
                <w:szCs w:val="18"/>
                <w:lang w:eastAsia="id-ID"/>
              </w:rPr>
            </w:pPr>
            <w:r w:rsidRPr="00B74070">
              <w:rPr>
                <w:rFonts w:ascii="Century Gothic" w:hAnsi="Century Gothic"/>
                <w:color w:val="000000"/>
                <w:sz w:val="18"/>
                <w:szCs w:val="18"/>
                <w:lang w:eastAsia="id-ID"/>
              </w:rPr>
              <w:t>Tingkat Pengangguran Terbuka (%)</w:t>
            </w:r>
          </w:p>
        </w:tc>
        <w:tc>
          <w:tcPr>
            <w:tcW w:w="850"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4,04</w:t>
            </w:r>
          </w:p>
        </w:tc>
        <w:tc>
          <w:tcPr>
            <w:tcW w:w="896"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4,46</w:t>
            </w:r>
          </w:p>
        </w:tc>
        <w:tc>
          <w:tcPr>
            <w:tcW w:w="1373"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4,00 -3,50</w:t>
            </w:r>
          </w:p>
        </w:tc>
        <w:tc>
          <w:tcPr>
            <w:tcW w:w="1275" w:type="dxa"/>
            <w:tcBorders>
              <w:top w:val="single" w:sz="4" w:space="0" w:color="FFFFFF"/>
              <w:left w:val="single" w:sz="4" w:space="0" w:color="FFFFFF"/>
              <w:bottom w:val="thickThinSmallGap" w:sz="12" w:space="0" w:color="auto"/>
              <w:right w:val="single" w:sz="4" w:space="0" w:color="FFFFFF"/>
            </w:tcBorders>
            <w:shd w:val="clear" w:color="auto" w:fill="D9D9D9"/>
            <w:noWrap/>
            <w:vAlign w:val="center"/>
            <w:hideMark/>
          </w:tcPr>
          <w:p w:rsidR="00EA4A62" w:rsidRPr="00B74070" w:rsidRDefault="00EA4A62" w:rsidP="00B74070">
            <w:pPr>
              <w:spacing w:after="0" w:line="240" w:lineRule="auto"/>
              <w:jc w:val="center"/>
              <w:rPr>
                <w:rFonts w:ascii="Century Gothic" w:hAnsi="Century Gothic"/>
                <w:color w:val="000000"/>
                <w:sz w:val="18"/>
                <w:szCs w:val="18"/>
                <w:lang w:eastAsia="id-ID"/>
              </w:rPr>
            </w:pPr>
            <w:r w:rsidRPr="00B74070">
              <w:rPr>
                <w:rFonts w:ascii="Century Gothic" w:hAnsi="Century Gothic"/>
                <w:color w:val="000000"/>
                <w:sz w:val="18"/>
                <w:szCs w:val="18"/>
                <w:lang w:eastAsia="id-ID"/>
              </w:rPr>
              <w:t>3,50 - 3,00</w:t>
            </w:r>
          </w:p>
        </w:tc>
      </w:tr>
    </w:tbl>
    <w:p w:rsidR="00EA4A62" w:rsidRPr="00B74070" w:rsidRDefault="00EA4A62" w:rsidP="00B74070">
      <w:pPr>
        <w:pStyle w:val="ListParagraph"/>
        <w:spacing w:line="360" w:lineRule="auto"/>
        <w:ind w:left="0"/>
        <w:contextualSpacing w:val="0"/>
        <w:rPr>
          <w:rFonts w:ascii="Century Gothic" w:hAnsi="Century Gothic"/>
          <w:i/>
          <w:sz w:val="16"/>
          <w:szCs w:val="16"/>
        </w:rPr>
      </w:pPr>
      <w:r w:rsidRPr="00B74070">
        <w:rPr>
          <w:rFonts w:ascii="Century Gothic" w:hAnsi="Century Gothic"/>
          <w:i/>
          <w:sz w:val="16"/>
          <w:szCs w:val="16"/>
          <w:lang w:val="it-IT"/>
        </w:rPr>
        <w:t>Sumber : BPS Prov. Sultra (diolah), 201</w:t>
      </w:r>
      <w:r w:rsidRPr="00B74070">
        <w:rPr>
          <w:rFonts w:ascii="Century Gothic" w:hAnsi="Century Gothic"/>
          <w:i/>
          <w:sz w:val="16"/>
          <w:szCs w:val="16"/>
        </w:rPr>
        <w:t>4</w:t>
      </w:r>
      <w:r w:rsidR="00FC09EB">
        <w:rPr>
          <w:rFonts w:ascii="Century Gothic" w:hAnsi="Century Gothic"/>
          <w:i/>
          <w:sz w:val="16"/>
          <w:szCs w:val="16"/>
        </w:rPr>
        <w:t xml:space="preserve">, </w:t>
      </w:r>
    </w:p>
    <w:p w:rsidR="00EA4A62" w:rsidRPr="00B74070" w:rsidRDefault="00EA4A62" w:rsidP="00B74070">
      <w:pPr>
        <w:autoSpaceDE w:val="0"/>
        <w:autoSpaceDN w:val="0"/>
        <w:adjustRightInd w:val="0"/>
        <w:spacing w:after="0" w:line="360" w:lineRule="auto"/>
        <w:ind w:firstLine="851"/>
        <w:jc w:val="both"/>
        <w:rPr>
          <w:rFonts w:ascii="Century Gothic" w:hAnsi="Century Gothic"/>
          <w:sz w:val="20"/>
          <w:szCs w:val="20"/>
        </w:rPr>
      </w:pPr>
      <w:r w:rsidRPr="00B74070">
        <w:rPr>
          <w:rFonts w:ascii="Century Gothic" w:hAnsi="Century Gothic"/>
          <w:sz w:val="20"/>
          <w:szCs w:val="20"/>
        </w:rPr>
        <w:lastRenderedPageBreak/>
        <w:t xml:space="preserve">Berdasarkan tabel di atas, bahwa target indikator makro dapat dicapai dengan </w:t>
      </w:r>
      <w:r w:rsidRPr="00B74070">
        <w:rPr>
          <w:rFonts w:ascii="Century Gothic" w:hAnsi="Century Gothic" w:cs="Arial"/>
          <w:bCs/>
          <w:sz w:val="20"/>
          <w:szCs w:val="20"/>
        </w:rPr>
        <w:t>beberapa</w:t>
      </w:r>
      <w:r w:rsidRPr="00B74070">
        <w:rPr>
          <w:rFonts w:ascii="Century Gothic" w:hAnsi="Century Gothic"/>
          <w:sz w:val="20"/>
          <w:szCs w:val="20"/>
        </w:rPr>
        <w:t xml:space="preserve"> pertimbangan dan asumsi, yaitu sebagai berikut:</w:t>
      </w:r>
    </w:p>
    <w:p w:rsidR="00EA4A62" w:rsidRPr="00B74070" w:rsidRDefault="00EA4A62" w:rsidP="00F8160D">
      <w:pPr>
        <w:pStyle w:val="ListParagraph"/>
        <w:numPr>
          <w:ilvl w:val="0"/>
          <w:numId w:val="8"/>
        </w:numPr>
        <w:spacing w:line="360" w:lineRule="auto"/>
        <w:contextualSpacing w:val="0"/>
        <w:jc w:val="both"/>
        <w:rPr>
          <w:rFonts w:ascii="Century Gothic" w:hAnsi="Century Gothic"/>
          <w:sz w:val="20"/>
          <w:szCs w:val="20"/>
        </w:rPr>
      </w:pPr>
      <w:r w:rsidRPr="00B74070">
        <w:rPr>
          <w:rFonts w:ascii="Century Gothic" w:hAnsi="Century Gothic"/>
          <w:sz w:val="20"/>
          <w:szCs w:val="20"/>
        </w:rPr>
        <w:t xml:space="preserve">Ketersediaan sumberdaya alam yang cukup potensial terutama pertanian dalam arti luas sangat penting ditingkatkan baik produksi maupun produktifitasnya maupun pertambangan terutama nikel, emas dan aspal perlu dikelola dengan baik dalam upaya peningkatan nilai tambah sehingga diharapkan terbangunnya industri pengolahan komoditas tersebut, yang dapat memberikan </w:t>
      </w:r>
      <w:r w:rsidRPr="00B74070">
        <w:rPr>
          <w:rFonts w:ascii="Century Gothic" w:hAnsi="Century Gothic"/>
          <w:i/>
          <w:sz w:val="20"/>
          <w:szCs w:val="20"/>
        </w:rPr>
        <w:t>multiplayer</w:t>
      </w:r>
      <w:r w:rsidRPr="00B74070">
        <w:rPr>
          <w:rFonts w:ascii="Century Gothic" w:hAnsi="Century Gothic"/>
          <w:sz w:val="20"/>
          <w:szCs w:val="20"/>
        </w:rPr>
        <w:t xml:space="preserve"> efek bagi perekonomian di Provinsi Sulawesi Tenggara.</w:t>
      </w:r>
    </w:p>
    <w:p w:rsidR="00EA4A62" w:rsidRPr="00B74070" w:rsidRDefault="00EA4A62" w:rsidP="00F8160D">
      <w:pPr>
        <w:pStyle w:val="ListParagraph"/>
        <w:numPr>
          <w:ilvl w:val="0"/>
          <w:numId w:val="8"/>
        </w:numPr>
        <w:spacing w:line="360" w:lineRule="auto"/>
        <w:contextualSpacing w:val="0"/>
        <w:jc w:val="both"/>
        <w:rPr>
          <w:rFonts w:ascii="Century Gothic" w:hAnsi="Century Gothic"/>
          <w:sz w:val="20"/>
          <w:szCs w:val="20"/>
        </w:rPr>
      </w:pPr>
      <w:r w:rsidRPr="00B74070">
        <w:rPr>
          <w:rFonts w:ascii="Century Gothic" w:hAnsi="Century Gothic"/>
          <w:sz w:val="20"/>
          <w:szCs w:val="20"/>
        </w:rPr>
        <w:t xml:space="preserve">Peningkatan infrastruktur </w:t>
      </w:r>
      <w:r w:rsidRPr="00B74070">
        <w:rPr>
          <w:rFonts w:ascii="Century Gothic" w:hAnsi="Century Gothic"/>
          <w:i/>
          <w:sz w:val="20"/>
          <w:szCs w:val="20"/>
        </w:rPr>
        <w:t>publik</w:t>
      </w:r>
      <w:r w:rsidRPr="00B74070">
        <w:rPr>
          <w:rFonts w:ascii="Century Gothic" w:hAnsi="Century Gothic"/>
          <w:sz w:val="20"/>
          <w:szCs w:val="20"/>
        </w:rPr>
        <w:t xml:space="preserve"> berupa pembangunan dan pemeliharaan jalan dan jembatan, pelabuhan, bandara, listrik dan air bersih, dapat membuka aksesibilitas barang dan jasa sehingga dapat memicu pertumbuhan ekonomi.</w:t>
      </w:r>
    </w:p>
    <w:p w:rsidR="00EA4A62" w:rsidRPr="00B74070" w:rsidRDefault="00EA4A62" w:rsidP="00F8160D">
      <w:pPr>
        <w:pStyle w:val="ListParagraph"/>
        <w:numPr>
          <w:ilvl w:val="0"/>
          <w:numId w:val="8"/>
        </w:numPr>
        <w:spacing w:line="360" w:lineRule="auto"/>
        <w:contextualSpacing w:val="0"/>
        <w:jc w:val="both"/>
        <w:rPr>
          <w:rFonts w:ascii="Century Gothic" w:hAnsi="Century Gothic"/>
          <w:sz w:val="20"/>
          <w:szCs w:val="20"/>
        </w:rPr>
      </w:pPr>
      <w:r w:rsidRPr="00B74070">
        <w:rPr>
          <w:rFonts w:ascii="Century Gothic" w:hAnsi="Century Gothic"/>
          <w:sz w:val="20"/>
          <w:szCs w:val="20"/>
        </w:rPr>
        <w:t>Kegiatan investasi semakin meningkat terutama sektor swasta yang ditunjukkan oleh peningkatan pembentukan modal tetap bruto, yang dapat memberikan kontribusi bagi pertumbuhan ekonomi di Provinsi Sulawesi Tenggara.</w:t>
      </w:r>
    </w:p>
    <w:p w:rsidR="00EA4A62" w:rsidRPr="00B74070" w:rsidRDefault="00EA4A62" w:rsidP="000F152A">
      <w:pPr>
        <w:rPr>
          <w:rFonts w:ascii="Century Gothic" w:hAnsi="Century Gothic"/>
          <w:sz w:val="20"/>
          <w:szCs w:val="20"/>
          <w:highlight w:val="yellow"/>
        </w:rPr>
      </w:pPr>
    </w:p>
    <w:p w:rsidR="003647D0" w:rsidRPr="003647D0" w:rsidRDefault="003647D0" w:rsidP="00F8160D">
      <w:pPr>
        <w:pStyle w:val="Heading4"/>
        <w:numPr>
          <w:ilvl w:val="3"/>
          <w:numId w:val="3"/>
        </w:numPr>
        <w:spacing w:line="276" w:lineRule="auto"/>
        <w:ind w:left="993" w:hanging="993"/>
        <w:rPr>
          <w:rFonts w:ascii="Arial Black" w:hAnsi="Arial Black"/>
          <w:i w:val="0"/>
          <w:noProof/>
          <w:sz w:val="22"/>
          <w:szCs w:val="22"/>
        </w:rPr>
      </w:pPr>
      <w:r>
        <w:rPr>
          <w:rFonts w:ascii="Arial Black" w:hAnsi="Arial Black"/>
          <w:i w:val="0"/>
          <w:noProof/>
          <w:sz w:val="22"/>
          <w:szCs w:val="22"/>
        </w:rPr>
        <w:t>Tantangan d</w:t>
      </w:r>
      <w:r w:rsidRPr="003647D0">
        <w:rPr>
          <w:rFonts w:ascii="Arial Black" w:hAnsi="Arial Black"/>
          <w:i w:val="0"/>
          <w:noProof/>
          <w:sz w:val="22"/>
          <w:szCs w:val="22"/>
        </w:rPr>
        <w:t xml:space="preserve">an Prospek Perekonomian </w:t>
      </w:r>
      <w:r>
        <w:rPr>
          <w:rFonts w:ascii="Arial Black" w:hAnsi="Arial Black"/>
          <w:i w:val="0"/>
          <w:noProof/>
          <w:sz w:val="22"/>
          <w:szCs w:val="22"/>
        </w:rPr>
        <w:t>Kota B</w:t>
      </w:r>
      <w:r w:rsidRPr="003647D0">
        <w:rPr>
          <w:rFonts w:ascii="Arial Black" w:hAnsi="Arial Black"/>
          <w:i w:val="0"/>
          <w:noProof/>
          <w:sz w:val="22"/>
          <w:szCs w:val="22"/>
        </w:rPr>
        <w:t>aubau Tahun 2015 Hingga Tahun 2017</w:t>
      </w:r>
    </w:p>
    <w:p w:rsidR="003647D0" w:rsidRPr="00137450" w:rsidRDefault="003647D0" w:rsidP="00137450">
      <w:pPr>
        <w:autoSpaceDE w:val="0"/>
        <w:autoSpaceDN w:val="0"/>
        <w:adjustRightInd w:val="0"/>
        <w:spacing w:before="240" w:after="0" w:line="360" w:lineRule="auto"/>
        <w:ind w:firstLine="720"/>
        <w:jc w:val="both"/>
        <w:rPr>
          <w:rFonts w:ascii="Century Gothic" w:hAnsi="Century Gothic" w:cs="Helvetica"/>
          <w:color w:val="000000"/>
          <w:sz w:val="20"/>
          <w:szCs w:val="20"/>
        </w:rPr>
      </w:pPr>
      <w:r w:rsidRPr="00137450">
        <w:rPr>
          <w:rFonts w:ascii="Century Gothic" w:hAnsi="Century Gothic" w:cs="Helvetica"/>
          <w:color w:val="000000"/>
          <w:sz w:val="20"/>
          <w:szCs w:val="20"/>
        </w:rPr>
        <w:t xml:space="preserve">Memperhatikan perkembangan perekonomian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xml:space="preserve"> Baubau hingga tahun 2014 serta proyeksi perekonomian tahun 2015, maka berikut ini tantangan dan prospek perekonomian kota Baubau yang akan dihadapi dan berpengaruh pada tahun 2016 dan 2017:</w:t>
      </w:r>
    </w:p>
    <w:p w:rsidR="003647D0" w:rsidRPr="00137450" w:rsidRDefault="003647D0" w:rsidP="00F8160D">
      <w:pPr>
        <w:pStyle w:val="ListParagraph"/>
        <w:numPr>
          <w:ilvl w:val="0"/>
          <w:numId w:val="5"/>
        </w:numPr>
        <w:autoSpaceDE w:val="0"/>
        <w:autoSpaceDN w:val="0"/>
        <w:adjustRightInd w:val="0"/>
        <w:spacing w:line="360" w:lineRule="auto"/>
        <w:ind w:left="360"/>
        <w:contextualSpacing w:val="0"/>
        <w:jc w:val="both"/>
        <w:rPr>
          <w:rFonts w:ascii="Century Gothic" w:hAnsi="Century Gothic" w:cs="Helvetica-Bold"/>
          <w:b/>
          <w:bCs/>
          <w:color w:val="000000"/>
          <w:sz w:val="20"/>
          <w:szCs w:val="20"/>
        </w:rPr>
      </w:pPr>
      <w:r w:rsidRPr="00137450">
        <w:rPr>
          <w:rFonts w:ascii="Century Gothic" w:hAnsi="Century Gothic" w:cs="Helvetica-Bold"/>
          <w:b/>
          <w:bCs/>
          <w:color w:val="000000"/>
          <w:sz w:val="20"/>
          <w:szCs w:val="20"/>
        </w:rPr>
        <w:t>Analisis Kondisi Internal Kota Baubau</w:t>
      </w:r>
    </w:p>
    <w:p w:rsidR="003647D0" w:rsidRPr="00137450" w:rsidRDefault="003647D0" w:rsidP="003647D0">
      <w:pPr>
        <w:autoSpaceDE w:val="0"/>
        <w:autoSpaceDN w:val="0"/>
        <w:adjustRightInd w:val="0"/>
        <w:spacing w:after="0" w:line="360" w:lineRule="auto"/>
        <w:jc w:val="both"/>
        <w:rPr>
          <w:rFonts w:ascii="Century Gothic" w:hAnsi="Century Gothic" w:cs="Helvetica-Bold"/>
          <w:b/>
          <w:bCs/>
          <w:color w:val="FF0000"/>
          <w:sz w:val="24"/>
          <w:szCs w:val="24"/>
        </w:rPr>
      </w:pPr>
      <w:r w:rsidRPr="00137450">
        <w:rPr>
          <w:rFonts w:ascii="Century Gothic" w:hAnsi="Century Gothic" w:cs="Helvetica"/>
          <w:b/>
          <w:color w:val="FF0000"/>
          <w:sz w:val="24"/>
          <w:szCs w:val="24"/>
        </w:rPr>
        <w:t>Kekuatan</w:t>
      </w:r>
    </w:p>
    <w:p w:rsidR="003647D0" w:rsidRPr="00137450" w:rsidRDefault="003647D0" w:rsidP="003647D0">
      <w:pPr>
        <w:autoSpaceDE w:val="0"/>
        <w:autoSpaceDN w:val="0"/>
        <w:adjustRightInd w:val="0"/>
        <w:spacing w:after="0" w:line="360" w:lineRule="auto"/>
        <w:jc w:val="both"/>
        <w:rPr>
          <w:rFonts w:ascii="Century Gothic" w:hAnsi="Century Gothic" w:cs="Helvetica"/>
          <w:sz w:val="20"/>
          <w:szCs w:val="20"/>
        </w:rPr>
      </w:pPr>
      <w:r w:rsidRPr="00137450">
        <w:rPr>
          <w:rFonts w:ascii="Century Gothic" w:hAnsi="Century Gothic" w:cs="Helvetica-Bold"/>
          <w:b/>
          <w:bCs/>
          <w:sz w:val="20"/>
          <w:szCs w:val="20"/>
        </w:rPr>
        <w:t>Pertama</w:t>
      </w:r>
      <w:r w:rsidRPr="00137450">
        <w:rPr>
          <w:rFonts w:ascii="Century Gothic" w:hAnsi="Century Gothic" w:cs="Helvetica"/>
          <w:sz w:val="20"/>
          <w:szCs w:val="20"/>
        </w:rPr>
        <w:t>:</w:t>
      </w:r>
      <w:r w:rsidRPr="00137450">
        <w:rPr>
          <w:rFonts w:ascii="Century Gothic" w:hAnsi="Century Gothic" w:cs="Helvetica"/>
          <w:color w:val="891824"/>
          <w:sz w:val="20"/>
          <w:szCs w:val="20"/>
        </w:rPr>
        <w:t xml:space="preserve"> </w:t>
      </w:r>
      <w:r w:rsidRPr="00137450">
        <w:rPr>
          <w:rFonts w:ascii="Century Gothic" w:hAnsi="Century Gothic" w:cs="Helvetica"/>
          <w:sz w:val="20"/>
          <w:szCs w:val="20"/>
        </w:rPr>
        <w:t xml:space="preserve">Perekonomian Kota Baubau yang relatif stabil dan terjaga dari sisi variable ekonomi makronya, menjadi kekuatan bagi fundamental perekonomian Baubau untuk beberapa tahun mendatang. Meskipun pemulihan kondisi perekonomian global dan kebijakan ekonomi nasional dapat berdampak pada kinerja perekonomian Kota Baubau, namun terjaganya daya beli masyarakat diharapkan dapat menjadi pendorong pertumbuhan ekonomi, sehingga dapat stabil diatas angka 8-9% di tahun 2016 dan 2017. </w:t>
      </w:r>
      <w:proofErr w:type="gramStart"/>
      <w:r w:rsidRPr="00137450">
        <w:rPr>
          <w:rFonts w:ascii="Century Gothic" w:hAnsi="Century Gothic" w:cs="Helvetica"/>
          <w:sz w:val="20"/>
          <w:szCs w:val="20"/>
        </w:rPr>
        <w:t>Selain itu, variabel inflasi juga dapat terjaga di bawah angka 8%.</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Kedua</w:t>
      </w:r>
      <w:r w:rsidRPr="00137450">
        <w:rPr>
          <w:rFonts w:ascii="Century Gothic" w:hAnsi="Century Gothic" w:cs="Helvetica"/>
          <w:color w:val="000000"/>
          <w:sz w:val="20"/>
          <w:szCs w:val="20"/>
        </w:rPr>
        <w:t>: Tingkat pengangguran Terbuka (TPT) Kota Baubau yang semakin terkendali diharapkan dapat menjadi kekuatan bagi peningkatan perekonomian Kota Baubau ke depannya. Pada tahun 201</w:t>
      </w:r>
      <w:r w:rsidR="00137450">
        <w:rPr>
          <w:rFonts w:ascii="Century Gothic" w:hAnsi="Century Gothic" w:cs="Helvetica"/>
          <w:color w:val="000000"/>
          <w:sz w:val="20"/>
          <w:szCs w:val="20"/>
        </w:rPr>
        <w:t>3</w:t>
      </w:r>
      <w:r w:rsidRPr="00137450">
        <w:rPr>
          <w:rFonts w:ascii="Century Gothic" w:hAnsi="Century Gothic" w:cs="Helvetica"/>
          <w:color w:val="000000"/>
          <w:sz w:val="20"/>
          <w:szCs w:val="20"/>
        </w:rPr>
        <w:t xml:space="preserve"> tingkat pengangguran tercatat 8</w:t>
      </w:r>
      <w:proofErr w:type="gramStart"/>
      <w:r w:rsidRPr="00137450">
        <w:rPr>
          <w:rFonts w:ascii="Century Gothic" w:hAnsi="Century Gothic" w:cs="Helvetica"/>
          <w:color w:val="000000"/>
          <w:sz w:val="20"/>
          <w:szCs w:val="20"/>
        </w:rPr>
        <w:t>,</w:t>
      </w:r>
      <w:r w:rsidR="00137450">
        <w:rPr>
          <w:rFonts w:ascii="Century Gothic" w:hAnsi="Century Gothic" w:cs="Helvetica"/>
          <w:color w:val="000000"/>
          <w:sz w:val="20"/>
          <w:szCs w:val="20"/>
        </w:rPr>
        <w:t>6</w:t>
      </w:r>
      <w:r w:rsidRPr="00137450">
        <w:rPr>
          <w:rFonts w:ascii="Century Gothic" w:hAnsi="Century Gothic" w:cs="Helvetica"/>
          <w:color w:val="000000"/>
          <w:sz w:val="20"/>
          <w:szCs w:val="20"/>
        </w:rPr>
        <w:t>6</w:t>
      </w:r>
      <w:proofErr w:type="gramEnd"/>
      <w:r w:rsidRPr="00137450">
        <w:rPr>
          <w:rFonts w:ascii="Century Gothic" w:hAnsi="Century Gothic" w:cs="Helvetica"/>
          <w:color w:val="000000"/>
          <w:sz w:val="20"/>
          <w:szCs w:val="20"/>
        </w:rPr>
        <w:t xml:space="preserve">% dan menurun menjadi </w:t>
      </w:r>
      <w:r w:rsidR="00137450">
        <w:rPr>
          <w:rFonts w:ascii="Century Gothic" w:hAnsi="Century Gothic" w:cs="Helvetica"/>
          <w:color w:val="000000"/>
          <w:sz w:val="20"/>
          <w:szCs w:val="20"/>
        </w:rPr>
        <w:t>6,79</w:t>
      </w:r>
      <w:r w:rsidRPr="00137450">
        <w:rPr>
          <w:rFonts w:ascii="Century Gothic" w:hAnsi="Century Gothic" w:cs="Helvetica"/>
          <w:color w:val="000000"/>
          <w:sz w:val="20"/>
          <w:szCs w:val="20"/>
        </w:rPr>
        <w:t>% di tahun 201</w:t>
      </w:r>
      <w:r w:rsidR="00137450">
        <w:rPr>
          <w:rFonts w:ascii="Century Gothic" w:hAnsi="Century Gothic" w:cs="Helvetica"/>
          <w:color w:val="000000"/>
          <w:sz w:val="20"/>
          <w:szCs w:val="20"/>
        </w:rPr>
        <w:t>4</w:t>
      </w:r>
      <w:r w:rsidRPr="00137450">
        <w:rPr>
          <w:rFonts w:ascii="Century Gothic" w:hAnsi="Century Gothic" w:cs="Helvetica"/>
          <w:color w:val="000000"/>
          <w:sz w:val="20"/>
          <w:szCs w:val="20"/>
        </w:rPr>
        <w:t xml:space="preserve">. </w:t>
      </w:r>
      <w:proofErr w:type="gramStart"/>
      <w:r w:rsidRPr="00137450">
        <w:rPr>
          <w:rFonts w:ascii="Century Gothic" w:hAnsi="Century Gothic" w:cs="Helvetica"/>
          <w:color w:val="000000"/>
          <w:sz w:val="20"/>
          <w:szCs w:val="20"/>
        </w:rPr>
        <w:t>Ditargetkan angka ini semakin menurun pada periode 201</w:t>
      </w:r>
      <w:r w:rsidR="00137450">
        <w:rPr>
          <w:rFonts w:ascii="Century Gothic" w:hAnsi="Century Gothic" w:cs="Helvetica"/>
          <w:color w:val="000000"/>
          <w:sz w:val="20"/>
          <w:szCs w:val="20"/>
        </w:rPr>
        <w:t>5</w:t>
      </w:r>
      <w:r w:rsidRPr="00137450">
        <w:rPr>
          <w:rFonts w:ascii="Century Gothic" w:hAnsi="Century Gothic" w:cs="Helvetica"/>
          <w:color w:val="000000"/>
          <w:sz w:val="20"/>
          <w:szCs w:val="20"/>
        </w:rPr>
        <w:t>-201</w:t>
      </w:r>
      <w:r w:rsidR="00137450">
        <w:rPr>
          <w:rFonts w:ascii="Century Gothic" w:hAnsi="Century Gothic" w:cs="Helvetica"/>
          <w:color w:val="000000"/>
          <w:sz w:val="20"/>
          <w:szCs w:val="20"/>
        </w:rPr>
        <w:t>7</w:t>
      </w:r>
      <w:r w:rsidRPr="00137450">
        <w:rPr>
          <w:rFonts w:ascii="Century Gothic" w:hAnsi="Century Gothic" w:cs="Helvetica"/>
          <w:color w:val="000000"/>
          <w:sz w:val="20"/>
          <w:szCs w:val="20"/>
        </w:rPr>
        <w:t>.</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Tahoma"/>
          <w:b/>
          <w:bCs/>
          <w:sz w:val="20"/>
          <w:szCs w:val="20"/>
        </w:rPr>
      </w:pPr>
      <w:r w:rsidRPr="00137450">
        <w:rPr>
          <w:rFonts w:ascii="Century Gothic" w:hAnsi="Century Gothic" w:cs="Helvetica-Bold"/>
          <w:b/>
          <w:bCs/>
          <w:color w:val="000000"/>
          <w:sz w:val="20"/>
          <w:szCs w:val="20"/>
        </w:rPr>
        <w:lastRenderedPageBreak/>
        <w:t>Ketiga</w:t>
      </w:r>
      <w:r w:rsidRPr="00137450">
        <w:rPr>
          <w:rFonts w:ascii="Century Gothic" w:hAnsi="Century Gothic" w:cs="Helvetica"/>
          <w:color w:val="000000"/>
          <w:sz w:val="20"/>
          <w:szCs w:val="20"/>
        </w:rPr>
        <w:t xml:space="preserve">: </w:t>
      </w:r>
      <w:r w:rsidRPr="00137450">
        <w:rPr>
          <w:rFonts w:ascii="Century Gothic" w:hAnsi="Century Gothic" w:cs="Tahoma"/>
          <w:bCs/>
          <w:sz w:val="20"/>
          <w:szCs w:val="20"/>
          <w:lang w:val="id-ID"/>
        </w:rPr>
        <w:t xml:space="preserve">Dalam rangka </w:t>
      </w:r>
      <w:proofErr w:type="gramStart"/>
      <w:r w:rsidRPr="00137450">
        <w:rPr>
          <w:rFonts w:ascii="Century Gothic" w:hAnsi="Century Gothic" w:cs="Tahoma"/>
          <w:bCs/>
          <w:sz w:val="20"/>
          <w:szCs w:val="20"/>
          <w:lang w:val="id-ID"/>
        </w:rPr>
        <w:t>meningkatkan  daya</w:t>
      </w:r>
      <w:proofErr w:type="gramEnd"/>
      <w:r w:rsidRPr="00137450">
        <w:rPr>
          <w:rFonts w:ascii="Century Gothic" w:hAnsi="Century Gothic" w:cs="Tahoma"/>
          <w:bCs/>
          <w:sz w:val="20"/>
          <w:szCs w:val="20"/>
          <w:lang w:val="id-ID"/>
        </w:rPr>
        <w:t xml:space="preserve"> tarik bagi investor untuk menanamkan modalnya di Kota Baubau, Pemerintah daerah telah melakukan berbagai upaya dengan melakukan promosi potensi yang di miliki oleh daerah dengan berbagai kemudahan yang akan disediakan oleh daerah. </w:t>
      </w:r>
      <w:proofErr w:type="gramStart"/>
      <w:r w:rsidRPr="00137450">
        <w:rPr>
          <w:rFonts w:ascii="Century Gothic" w:hAnsi="Century Gothic" w:cs="Tahoma"/>
          <w:bCs/>
          <w:sz w:val="20"/>
          <w:szCs w:val="20"/>
        </w:rPr>
        <w:t xml:space="preserve">Karena disadari bahwa </w:t>
      </w:r>
      <w:r w:rsidRPr="00137450">
        <w:rPr>
          <w:rFonts w:ascii="Century Gothic" w:hAnsi="Century Gothic" w:cs="Tahoma"/>
          <w:bCs/>
          <w:sz w:val="20"/>
          <w:szCs w:val="20"/>
          <w:lang w:val="id-ID"/>
        </w:rPr>
        <w:t>peningkatan jumlah investor dan nilai investasi berarti pula peningkatan aktivitas ekonomi di Kota Baubau yang berdampak pada terbukanya lapangan kerja, peningkatan pendapatan dan kesejahteraan masyarakat Kota Baubau.</w:t>
      </w:r>
      <w:proofErr w:type="gramEnd"/>
      <w:r w:rsidRPr="00137450">
        <w:rPr>
          <w:rFonts w:ascii="Century Gothic" w:hAnsi="Century Gothic" w:cs="Tahoma"/>
          <w:b/>
          <w:sz w:val="20"/>
          <w:szCs w:val="20"/>
        </w:rPr>
        <w:t xml:space="preserve"> </w:t>
      </w:r>
      <w:r w:rsidRPr="00137450">
        <w:rPr>
          <w:rFonts w:ascii="Century Gothic" w:hAnsi="Century Gothic" w:cs="Helvetica"/>
          <w:sz w:val="20"/>
          <w:szCs w:val="20"/>
        </w:rPr>
        <w:t xml:space="preserve">Hal ini juga tidak lepas dari tingkat kondusifitas daerah yang terjamin serta adanya </w:t>
      </w:r>
      <w:proofErr w:type="gramStart"/>
      <w:r w:rsidRPr="00137450">
        <w:rPr>
          <w:rFonts w:ascii="Century Gothic" w:hAnsi="Century Gothic" w:cs="Helvetica"/>
          <w:sz w:val="20"/>
          <w:szCs w:val="20"/>
        </w:rPr>
        <w:t>Program  Pelayanan</w:t>
      </w:r>
      <w:proofErr w:type="gramEnd"/>
      <w:r w:rsidRPr="00137450">
        <w:rPr>
          <w:rFonts w:ascii="Century Gothic" w:hAnsi="Century Gothic" w:cs="Helvetica"/>
          <w:sz w:val="20"/>
          <w:szCs w:val="20"/>
        </w:rPr>
        <w:t xml:space="preserve"> Terpadu Satu Pintu (PPTSP) yang memudahkan birokrasi pelayanan perijinan, meskipun hal ini perlu terus dioptimalkan. </w:t>
      </w:r>
      <w:proofErr w:type="gramStart"/>
      <w:r w:rsidRPr="00137450">
        <w:rPr>
          <w:rFonts w:ascii="Century Gothic" w:hAnsi="Century Gothic" w:cs="Helvetica"/>
          <w:sz w:val="20"/>
          <w:szCs w:val="20"/>
        </w:rPr>
        <w:t>Oleh karena itu di tahun 2015-2017 diharapkan dengan iklim investasi yang terjaga, nilai investasi di Kota Baubau semakin meningkat.</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Calibri"/>
          <w:color w:val="000000"/>
          <w:sz w:val="20"/>
          <w:szCs w:val="20"/>
        </w:rPr>
      </w:pPr>
      <w:r w:rsidRPr="00137450">
        <w:rPr>
          <w:rFonts w:ascii="Century Gothic" w:hAnsi="Century Gothic" w:cs="Helvetica-Bold"/>
          <w:b/>
          <w:bCs/>
          <w:color w:val="000000"/>
          <w:sz w:val="20"/>
          <w:szCs w:val="20"/>
        </w:rPr>
        <w:t>Keempat</w:t>
      </w:r>
      <w:r w:rsidRPr="00137450">
        <w:rPr>
          <w:rFonts w:ascii="Century Gothic" w:hAnsi="Century Gothic" w:cs="Helvetica"/>
          <w:color w:val="000000"/>
          <w:sz w:val="20"/>
          <w:szCs w:val="20"/>
        </w:rPr>
        <w:t xml:space="preserve">: Infrastruktur Kota Baubau yang semakin lengkap terutama ketersediaan sarana publik yang mudah dijangkau, menjadi pendukung kelancaran perekonomian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xml:space="preserve">. Selain itu, adanya ruang-ruang publik di beberapa wilayah di Baubau memperindah posisinya sebagai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xml:space="preserve">. Ketersediaan berbagai sarana dan prasarana transportasi baik darat, laut dan udara mendukung Posisi Kota Baubau sebagai Kota Perdagangan dan Kota Transit serta penghubung bagi daerah-daerah disekitarnya antara </w:t>
      </w:r>
      <w:proofErr w:type="gramStart"/>
      <w:r w:rsidRPr="00137450">
        <w:rPr>
          <w:rFonts w:ascii="Century Gothic" w:hAnsi="Century Gothic" w:cs="Helvetica"/>
          <w:color w:val="000000"/>
          <w:sz w:val="20"/>
          <w:szCs w:val="20"/>
        </w:rPr>
        <w:t>lain</w:t>
      </w:r>
      <w:proofErr w:type="gramEnd"/>
      <w:r w:rsidRPr="00137450">
        <w:rPr>
          <w:rFonts w:ascii="Century Gothic" w:hAnsi="Century Gothic" w:cs="Helvetica"/>
          <w:color w:val="000000"/>
          <w:sz w:val="20"/>
          <w:szCs w:val="20"/>
        </w:rPr>
        <w:t xml:space="preserve"> Kab. Buton, Wakatobi, Buton Utara, Bombana dan Kab. Muna </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Kelima</w:t>
      </w:r>
      <w:r w:rsidRPr="00137450">
        <w:rPr>
          <w:rFonts w:ascii="Century Gothic" w:hAnsi="Century Gothic" w:cs="Helvetica"/>
          <w:color w:val="000000"/>
          <w:sz w:val="20"/>
          <w:szCs w:val="20"/>
        </w:rPr>
        <w:t xml:space="preserve">: Sebagai Kota terbesar kedua di Provinsi Sulawesi Tenggara, Kota Baubau memiliki fasilitas pendidikan, kesehatan, perdagangan, perbankan dan jasa-jasa yang dapat menunjang perkembangan perekonomian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xml:space="preserve">. </w:t>
      </w:r>
      <w:proofErr w:type="gramStart"/>
      <w:r w:rsidRPr="00137450">
        <w:rPr>
          <w:rFonts w:ascii="Century Gothic" w:hAnsi="Century Gothic" w:cs="Helvetica"/>
          <w:color w:val="000000"/>
          <w:sz w:val="20"/>
          <w:szCs w:val="20"/>
        </w:rPr>
        <w:t>Selain itu, keberadaan sarana dan prasarana publik yang baik dapat mendukung peningkatan kualitas sumber daya manusia yang ada, meliputi aspek pendidikan, kesehatan dan ekonomi.</w:t>
      </w:r>
      <w:proofErr w:type="gramEnd"/>
      <w:r w:rsidRPr="00137450">
        <w:rPr>
          <w:rFonts w:ascii="Century Gothic" w:hAnsi="Century Gothic" w:cs="Helvetica"/>
          <w:color w:val="000000"/>
          <w:sz w:val="20"/>
          <w:szCs w:val="20"/>
        </w:rPr>
        <w:t xml:space="preserve"> </w:t>
      </w:r>
      <w:proofErr w:type="gramStart"/>
      <w:r w:rsidRPr="00137450">
        <w:rPr>
          <w:rFonts w:ascii="Century Gothic" w:hAnsi="Century Gothic" w:cs="Helvetica"/>
          <w:color w:val="000000"/>
          <w:sz w:val="20"/>
          <w:szCs w:val="20"/>
        </w:rPr>
        <w:t>Kualitas SDM yang baik dapat menjadi kekuatan bagi perkembangan perekonomian Kota Baubau selanjutnya.</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Helvetica"/>
          <w:color w:val="FF0000"/>
          <w:sz w:val="20"/>
          <w:szCs w:val="20"/>
        </w:rPr>
      </w:pPr>
      <w:r w:rsidRPr="00137450">
        <w:rPr>
          <w:rFonts w:ascii="Century Gothic" w:hAnsi="Century Gothic" w:cs="Helvetica"/>
          <w:b/>
          <w:color w:val="000000"/>
          <w:sz w:val="20"/>
          <w:szCs w:val="20"/>
        </w:rPr>
        <w:t>Keenam</w:t>
      </w:r>
      <w:r w:rsidRPr="00137450">
        <w:rPr>
          <w:rFonts w:ascii="Century Gothic" w:hAnsi="Century Gothic" w:cs="Helvetica"/>
          <w:color w:val="000000"/>
          <w:sz w:val="20"/>
          <w:szCs w:val="20"/>
        </w:rPr>
        <w:t xml:space="preserve"> : </w:t>
      </w:r>
      <w:r w:rsidRPr="00137450">
        <w:rPr>
          <w:rFonts w:ascii="Century Gothic" w:hAnsi="Century Gothic" w:cs="Helvetica"/>
          <w:sz w:val="20"/>
          <w:szCs w:val="20"/>
        </w:rPr>
        <w:t>Struktur keuangan Kota Baubau yang semakin menunjukkan perbaikan, ditandai dengan meningkatnya realisasi penerimaan Pendapatan Asli Daerah (PAD) di tahun 2014 yaitu Rp. 54.989.798.633 atau 121,86% dari target yang ditetapkan yaitu Rp. 29.025.084.872 atau jauh lebih tinggi dibandingkan dengan capaiannya pada 2013 yang hanya sebesar 64,32% atau sebesar Rp. 35.370.529.974,13,- dari target sebesar Rp.</w:t>
      </w:r>
      <w:r w:rsidRPr="00137450">
        <w:rPr>
          <w:rFonts w:ascii="Century Gothic" w:hAnsi="Century Gothic"/>
          <w:sz w:val="20"/>
          <w:szCs w:val="20"/>
        </w:rPr>
        <w:t xml:space="preserve"> </w:t>
      </w:r>
      <w:r w:rsidRPr="00137450">
        <w:rPr>
          <w:rFonts w:ascii="Century Gothic" w:hAnsi="Century Gothic" w:cs="Helvetica"/>
          <w:sz w:val="20"/>
          <w:szCs w:val="20"/>
        </w:rPr>
        <w:t xml:space="preserve">26.696.314.186,-. </w:t>
      </w:r>
      <w:proofErr w:type="gramStart"/>
      <w:r w:rsidRPr="00137450">
        <w:rPr>
          <w:rFonts w:ascii="Century Gothic" w:hAnsi="Century Gothic" w:cs="Helvetica"/>
          <w:sz w:val="20"/>
          <w:szCs w:val="20"/>
        </w:rPr>
        <w:t>Capaian PAD ini diharapkan meningkat di tahun 2015-2017 mendatang, dikarenakan berjalannya manajemen pajak yang cukup baik.</w:t>
      </w:r>
      <w:proofErr w:type="gramEnd"/>
      <w:r w:rsidRPr="00137450">
        <w:rPr>
          <w:rFonts w:ascii="Century Gothic" w:hAnsi="Century Gothic" w:cs="Cambria"/>
          <w:color w:val="FF0000"/>
          <w:sz w:val="20"/>
          <w:szCs w:val="20"/>
          <w:lang w:val="id-ID"/>
        </w:rPr>
        <w:t xml:space="preserve"> </w:t>
      </w:r>
    </w:p>
    <w:p w:rsidR="003647D0" w:rsidRPr="00137450" w:rsidRDefault="003647D0" w:rsidP="003647D0">
      <w:pPr>
        <w:autoSpaceDE w:val="0"/>
        <w:autoSpaceDN w:val="0"/>
        <w:adjustRightInd w:val="0"/>
        <w:spacing w:after="0" w:line="360" w:lineRule="auto"/>
        <w:jc w:val="both"/>
        <w:rPr>
          <w:rFonts w:ascii="Century Gothic" w:hAnsi="Century Gothic" w:cs="Helvetica"/>
          <w:color w:val="FF0000"/>
          <w:sz w:val="20"/>
          <w:szCs w:val="20"/>
        </w:rPr>
      </w:pPr>
    </w:p>
    <w:p w:rsidR="003647D0" w:rsidRPr="00137450" w:rsidRDefault="003647D0" w:rsidP="003647D0">
      <w:pPr>
        <w:autoSpaceDE w:val="0"/>
        <w:autoSpaceDN w:val="0"/>
        <w:adjustRightInd w:val="0"/>
        <w:spacing w:after="0" w:line="360" w:lineRule="auto"/>
        <w:jc w:val="both"/>
        <w:rPr>
          <w:rFonts w:ascii="Century Gothic" w:hAnsi="Century Gothic" w:cs="Helvetica"/>
          <w:b/>
          <w:color w:val="FF0000"/>
          <w:sz w:val="24"/>
          <w:szCs w:val="24"/>
        </w:rPr>
      </w:pPr>
      <w:r w:rsidRPr="00137450">
        <w:rPr>
          <w:rFonts w:ascii="Century Gothic" w:hAnsi="Century Gothic" w:cs="Helvetica"/>
          <w:b/>
          <w:color w:val="FF0000"/>
          <w:sz w:val="24"/>
          <w:szCs w:val="24"/>
        </w:rPr>
        <w:t>Kelemahan</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Pertama</w:t>
      </w:r>
      <w:r w:rsidRPr="00137450">
        <w:rPr>
          <w:rFonts w:ascii="Century Gothic" w:hAnsi="Century Gothic" w:cs="Helvetica"/>
          <w:color w:val="000000"/>
          <w:sz w:val="20"/>
          <w:szCs w:val="20"/>
        </w:rPr>
        <w:t xml:space="preserve">: Kebijakan kenaikan Tarif Dasar Listrik (TDL) per triwulanan sepanjang tahun 2015 serta adanya kenaikan harga BBM dikhawatirkan berpotensi memberi tekanan cukup besar pada angka inflasi. Kebijakan pemerintah nasional khususnya yang </w:t>
      </w:r>
      <w:r w:rsidRPr="00137450">
        <w:rPr>
          <w:rFonts w:ascii="Century Gothic" w:hAnsi="Century Gothic" w:cs="Helvetica"/>
          <w:color w:val="000000"/>
          <w:sz w:val="20"/>
          <w:szCs w:val="20"/>
        </w:rPr>
        <w:lastRenderedPageBreak/>
        <w:t xml:space="preserve">dianggap beresiko menjadi catatan tersendiri bagi perkembangan perekonomian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xml:space="preserve"> di tahun 2015-2017. </w:t>
      </w:r>
      <w:proofErr w:type="gramStart"/>
      <w:r w:rsidRPr="00137450">
        <w:rPr>
          <w:rFonts w:ascii="Century Gothic" w:hAnsi="Century Gothic" w:cs="Helvetica"/>
          <w:color w:val="000000"/>
          <w:sz w:val="20"/>
          <w:szCs w:val="20"/>
        </w:rPr>
        <w:t>Oleh karena itu, usaha stabilitasi perekonomian secara makro menjadi perhatian utama bagi semua pihak.</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Kedua</w:t>
      </w:r>
      <w:r w:rsidRPr="00137450">
        <w:rPr>
          <w:rFonts w:ascii="Century Gothic" w:hAnsi="Century Gothic" w:cs="Helvetica"/>
          <w:color w:val="000000"/>
          <w:sz w:val="20"/>
          <w:szCs w:val="20"/>
        </w:rPr>
        <w:t xml:space="preserve">: iklim usaha yang kondusif tidak diiringi dengan pelayanan perijinan UMKM yang optimal, terbukti dari relatif sulitnya akses terhadap peluang pasar produk UMKM dikarenakan beberapa hambatan seperti kualitas produk yang rata-rata kurang bagus, sehingga menyebabkan rendahnya daya saing produk UMKM, harga produk yang kurang kompetitif, pemasaran produk yang masih terbatas area lokal dan belum mampu melakukan pemasaran ke luar daerah. </w:t>
      </w:r>
      <w:proofErr w:type="gramStart"/>
      <w:r w:rsidRPr="00137450">
        <w:rPr>
          <w:rFonts w:ascii="Century Gothic" w:hAnsi="Century Gothic" w:cs="Helvetica"/>
          <w:color w:val="000000"/>
          <w:sz w:val="20"/>
          <w:szCs w:val="20"/>
        </w:rPr>
        <w:t>Oleh karena itu, program pendampingan UMKM/kewirausahaan penting dilakukan untuk membantu peningkatan daya saing produk UMKM di Kota Baubau.</w:t>
      </w:r>
      <w:proofErr w:type="gramEnd"/>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Ketiga</w:t>
      </w:r>
      <w:r w:rsidRPr="00137450">
        <w:rPr>
          <w:rFonts w:ascii="Century Gothic" w:hAnsi="Century Gothic" w:cs="Helvetica"/>
          <w:color w:val="000000"/>
          <w:sz w:val="20"/>
          <w:szCs w:val="20"/>
        </w:rPr>
        <w:t xml:space="preserve">: </w:t>
      </w:r>
      <w:r w:rsidRPr="00137450">
        <w:rPr>
          <w:rFonts w:ascii="Century Gothic" w:hAnsi="Century Gothic" w:cs="Helvetica"/>
          <w:color w:val="000000"/>
          <w:spacing w:val="-4"/>
          <w:sz w:val="20"/>
          <w:szCs w:val="20"/>
        </w:rPr>
        <w:t xml:space="preserve">Rasio belanja Pegawai Kota Baubau relatif besar lebih kurang 60 persen pada APBD 2014 akan mengurangi porsi belanja infrastruktur. </w:t>
      </w:r>
      <w:proofErr w:type="gramStart"/>
      <w:r w:rsidRPr="00137450">
        <w:rPr>
          <w:rFonts w:ascii="Century Gothic" w:hAnsi="Century Gothic" w:cs="Helvetica"/>
          <w:color w:val="000000"/>
          <w:spacing w:val="-4"/>
          <w:sz w:val="20"/>
          <w:szCs w:val="20"/>
        </w:rPr>
        <w:t>Hal ini dapat mempengaruhi aktivitas perekonomian pada suatu daerah dan selanjutnya berdampak pada tingkat pertumbuhan ekonominya.</w:t>
      </w:r>
      <w:proofErr w:type="gramEnd"/>
      <w:r w:rsidRPr="00137450">
        <w:rPr>
          <w:rFonts w:ascii="Century Gothic" w:hAnsi="Century Gothic" w:cs="Helvetica"/>
          <w:color w:val="000000"/>
          <w:spacing w:val="-4"/>
          <w:sz w:val="20"/>
          <w:szCs w:val="20"/>
        </w:rPr>
        <w:t xml:space="preserve"> Oleh karena itu, dibutuhkan sumber-sumber pendanaan yang mampu menopang pembiayaan infrastruktur Kota Baubau ke depannya, baik dalam format kerjasama dengan pihak swasta maupun mekanisme inovatif lain yang tersedia (misalnya melalui </w:t>
      </w:r>
      <w:proofErr w:type="gramStart"/>
      <w:r w:rsidRPr="00137450">
        <w:rPr>
          <w:rFonts w:ascii="Century Gothic" w:hAnsi="Century Gothic" w:cs="Helvetica"/>
          <w:color w:val="000000"/>
          <w:spacing w:val="-4"/>
          <w:sz w:val="20"/>
          <w:szCs w:val="20"/>
        </w:rPr>
        <w:t>surat</w:t>
      </w:r>
      <w:proofErr w:type="gramEnd"/>
      <w:r w:rsidRPr="00137450">
        <w:rPr>
          <w:rFonts w:ascii="Century Gothic" w:hAnsi="Century Gothic" w:cs="Helvetica"/>
          <w:color w:val="000000"/>
          <w:spacing w:val="-4"/>
          <w:sz w:val="20"/>
          <w:szCs w:val="20"/>
        </w:rPr>
        <w:t xml:space="preserve"> berharga daerah maupun pinjaman ke pemerintah pusat).</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Keempat</w:t>
      </w:r>
      <w:r w:rsidRPr="00137450">
        <w:rPr>
          <w:rFonts w:ascii="Century Gothic" w:hAnsi="Century Gothic" w:cs="Helvetica"/>
          <w:color w:val="891824"/>
          <w:sz w:val="20"/>
          <w:szCs w:val="20"/>
        </w:rPr>
        <w:t xml:space="preserve">: </w:t>
      </w:r>
      <w:r w:rsidRPr="00137450">
        <w:rPr>
          <w:rFonts w:ascii="Century Gothic" w:hAnsi="Century Gothic" w:cs="Helvetica"/>
          <w:color w:val="000000"/>
          <w:sz w:val="20"/>
          <w:szCs w:val="20"/>
        </w:rPr>
        <w:t xml:space="preserve">Beberapa proyek pembangunan infrastruktur dan fasilitas umum seperti perluasan Pelabuhan Murhum dan kawasan pergudangan, Peningkatan  serta Rencana Pembangunan Jembatan Penghubung Ke Pulau Makassar dan Pulau Muna, menjadi hal yang mendesak karena frekuensi penggunaan oleh masyarakat yang semakin meningkat. </w:t>
      </w:r>
      <w:proofErr w:type="gramStart"/>
      <w:r w:rsidRPr="00137450">
        <w:rPr>
          <w:rFonts w:ascii="Century Gothic" w:hAnsi="Century Gothic" w:cs="Helvetica"/>
          <w:color w:val="000000"/>
          <w:sz w:val="20"/>
          <w:szCs w:val="20"/>
        </w:rPr>
        <w:t>Demikian pula dengan rencana pembangunan jalan lingkar luar (ring road) dapat bermanfaat untuk membuka akses masyarakat.</w:t>
      </w:r>
      <w:proofErr w:type="gramEnd"/>
      <w:r w:rsidRPr="00137450">
        <w:rPr>
          <w:rFonts w:ascii="Century Gothic" w:hAnsi="Century Gothic" w:cs="Helvetica"/>
          <w:color w:val="000000"/>
          <w:sz w:val="20"/>
          <w:szCs w:val="20"/>
        </w:rPr>
        <w:t xml:space="preserve"> Diharapkan pembangunan ini dapat dilaksanakan, sehinga dapat memperlancar aktivitas perekonomian warga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Kelima</w:t>
      </w:r>
      <w:r w:rsidRPr="00137450">
        <w:rPr>
          <w:rFonts w:ascii="Century Gothic" w:hAnsi="Century Gothic" w:cs="Helvetica"/>
          <w:color w:val="000000"/>
          <w:sz w:val="20"/>
          <w:szCs w:val="20"/>
        </w:rPr>
        <w:t xml:space="preserve">: Tersedianya fasilitas umum yang memadai serta membaiknya kinerja perekonomian </w:t>
      </w:r>
      <w:proofErr w:type="gramStart"/>
      <w:r w:rsidRPr="00137450">
        <w:rPr>
          <w:rFonts w:ascii="Century Gothic" w:hAnsi="Century Gothic" w:cs="Helvetica"/>
          <w:color w:val="000000"/>
          <w:sz w:val="20"/>
          <w:szCs w:val="20"/>
        </w:rPr>
        <w:t>kota</w:t>
      </w:r>
      <w:proofErr w:type="gramEnd"/>
      <w:r w:rsidRPr="00137450">
        <w:rPr>
          <w:rFonts w:ascii="Century Gothic" w:hAnsi="Century Gothic" w:cs="Helvetica"/>
          <w:color w:val="000000"/>
          <w:sz w:val="20"/>
          <w:szCs w:val="20"/>
        </w:rPr>
        <w:t>, berpotensi menyebabkan tingginya arus urbanisasi ke Kota Baubau dari kota-kota lain di sekitarnya.</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lang w:val="id-ID"/>
        </w:rPr>
      </w:pPr>
      <w:proofErr w:type="gramStart"/>
      <w:r w:rsidRPr="00137450">
        <w:rPr>
          <w:rFonts w:ascii="Century Gothic" w:hAnsi="Century Gothic" w:cs="Helvetica"/>
          <w:b/>
          <w:color w:val="000000"/>
          <w:sz w:val="20"/>
          <w:szCs w:val="20"/>
        </w:rPr>
        <w:t>Keenam :</w:t>
      </w:r>
      <w:proofErr w:type="gramEnd"/>
      <w:r w:rsidRPr="00137450">
        <w:rPr>
          <w:rFonts w:ascii="Century Gothic" w:hAnsi="Century Gothic" w:cs="Helvetica"/>
          <w:b/>
          <w:color w:val="000000"/>
          <w:sz w:val="20"/>
          <w:szCs w:val="20"/>
        </w:rPr>
        <w:t xml:space="preserve"> </w:t>
      </w:r>
      <w:r w:rsidRPr="00137450">
        <w:rPr>
          <w:rFonts w:ascii="Century Gothic" w:hAnsi="Century Gothic"/>
          <w:sz w:val="20"/>
          <w:szCs w:val="20"/>
        </w:rPr>
        <w:t xml:space="preserve">Peran Kota Baubau sebagai pusat aktifitas dan perekonomian masyarakat di wilayah Sulawesi Tenggara bagian Kepulauan, menyebabkan perbedaan yang cukup signifikan antara jumlah penduduk siang dan malam karena besarnya jumlah penduduk komuter dari beberapa daerah disekitarnya. </w:t>
      </w:r>
      <w:proofErr w:type="gramStart"/>
      <w:r w:rsidRPr="00137450">
        <w:rPr>
          <w:rFonts w:ascii="Century Gothic" w:hAnsi="Century Gothic"/>
          <w:sz w:val="20"/>
          <w:szCs w:val="20"/>
        </w:rPr>
        <w:t xml:space="preserve">Dari hasil pendataan BPS jumlah penduduk tetap non komuter di Kota Baubau dari tahun ke tahun terus mengalami </w:t>
      </w:r>
      <w:r w:rsidRPr="00137450">
        <w:rPr>
          <w:rFonts w:ascii="Century Gothic" w:hAnsi="Century Gothic" w:cstheme="minorHAnsi"/>
          <w:sz w:val="20"/>
          <w:szCs w:val="20"/>
        </w:rPr>
        <w:t>peningkatan</w:t>
      </w:r>
      <w:r w:rsidRPr="00137450">
        <w:rPr>
          <w:rFonts w:ascii="Century Gothic" w:hAnsi="Century Gothic"/>
          <w:sz w:val="20"/>
          <w:szCs w:val="20"/>
        </w:rPr>
        <w:t>.</w:t>
      </w:r>
      <w:proofErr w:type="gramEnd"/>
      <w:r w:rsidRPr="00137450">
        <w:rPr>
          <w:rFonts w:ascii="Century Gothic" w:hAnsi="Century Gothic"/>
          <w:sz w:val="20"/>
          <w:szCs w:val="20"/>
        </w:rPr>
        <w:t xml:space="preserve"> Selama kurun waktu 5 (lima) tahun terakhir (2010 – 2014), rata-rata laju pertumbuhan penduduk sebesar 2</w:t>
      </w:r>
      <w:proofErr w:type="gramStart"/>
      <w:r w:rsidRPr="00137450">
        <w:rPr>
          <w:rFonts w:ascii="Century Gothic" w:hAnsi="Century Gothic"/>
          <w:sz w:val="20"/>
          <w:szCs w:val="20"/>
        </w:rPr>
        <w:t>,35</w:t>
      </w:r>
      <w:proofErr w:type="gramEnd"/>
      <w:r w:rsidRPr="00137450">
        <w:rPr>
          <w:rFonts w:ascii="Century Gothic" w:hAnsi="Century Gothic"/>
          <w:sz w:val="20"/>
          <w:szCs w:val="20"/>
        </w:rPr>
        <w:t xml:space="preserve">%. </w:t>
      </w:r>
      <w:r w:rsidRPr="00137450">
        <w:rPr>
          <w:rFonts w:ascii="Century Gothic" w:hAnsi="Century Gothic" w:cs="Calibri"/>
          <w:sz w:val="20"/>
          <w:szCs w:val="20"/>
        </w:rPr>
        <w:t xml:space="preserve">Angka ini lebih besar dari laju pertumbuhan penduduk Provinsi Sulawesi Tenggara pada periode yang sama yakni </w:t>
      </w:r>
      <w:r w:rsidRPr="00137450">
        <w:rPr>
          <w:rFonts w:ascii="Century Gothic" w:hAnsi="Century Gothic" w:cs="Calibri"/>
          <w:sz w:val="20"/>
          <w:szCs w:val="20"/>
        </w:rPr>
        <w:lastRenderedPageBreak/>
        <w:t>2</w:t>
      </w:r>
      <w:proofErr w:type="gramStart"/>
      <w:r w:rsidRPr="00137450">
        <w:rPr>
          <w:rFonts w:ascii="Century Gothic" w:hAnsi="Century Gothic" w:cs="Calibri"/>
          <w:sz w:val="20"/>
          <w:szCs w:val="20"/>
        </w:rPr>
        <w:t>,14</w:t>
      </w:r>
      <w:proofErr w:type="gramEnd"/>
      <w:r w:rsidRPr="00137450">
        <w:rPr>
          <w:rFonts w:ascii="Century Gothic" w:hAnsi="Century Gothic" w:cs="Calibri"/>
          <w:sz w:val="20"/>
          <w:szCs w:val="20"/>
        </w:rPr>
        <w:t>% dan Indonesia 1,49%</w:t>
      </w:r>
      <w:r w:rsidRPr="00137450">
        <w:rPr>
          <w:rFonts w:ascii="Century Gothic" w:hAnsi="Century Gothic" w:cs="Calibri"/>
          <w:color w:val="000000"/>
          <w:sz w:val="20"/>
          <w:szCs w:val="20"/>
        </w:rPr>
        <w:t xml:space="preserve">. </w:t>
      </w:r>
      <w:proofErr w:type="gramStart"/>
      <w:r w:rsidRPr="00137450">
        <w:rPr>
          <w:rFonts w:ascii="Century Gothic" w:hAnsi="Century Gothic" w:cs="Calibri"/>
          <w:color w:val="000000"/>
          <w:sz w:val="20"/>
          <w:szCs w:val="20"/>
        </w:rPr>
        <w:t xml:space="preserve">Karena itu diperlukan </w:t>
      </w:r>
      <w:r w:rsidRPr="00137450">
        <w:rPr>
          <w:rFonts w:ascii="Century Gothic" w:hAnsi="Century Gothic" w:cs="Helvetica"/>
          <w:sz w:val="20"/>
          <w:szCs w:val="20"/>
        </w:rPr>
        <w:t>mekanisme pengendalian dan penataan jumlah penduduk agar sumberdaya manusianya semakin berkualitas.</w:t>
      </w:r>
      <w:proofErr w:type="gramEnd"/>
      <w:r w:rsidRPr="00137450">
        <w:rPr>
          <w:rFonts w:ascii="Century Gothic" w:hAnsi="Century Gothic" w:cs="Helvetica"/>
          <w:sz w:val="20"/>
          <w:szCs w:val="20"/>
        </w:rPr>
        <w:t xml:space="preserve"> </w:t>
      </w:r>
      <w:proofErr w:type="gramStart"/>
      <w:r w:rsidRPr="00137450">
        <w:rPr>
          <w:rFonts w:ascii="Century Gothic" w:hAnsi="Century Gothic" w:cs="Helvetica"/>
          <w:sz w:val="20"/>
          <w:szCs w:val="20"/>
        </w:rPr>
        <w:t>Jumlah penduduk yang tidak terkendali pada akhirnya dapat menjadi beban bagi pemerintah daerah dan memunculkan masalah-masalah perekonomian lainnya seperti kemiskinan (urban poverty), wilayah kumuh, kriminalitas dan sebagainya</w:t>
      </w:r>
      <w:r w:rsidRPr="00137450">
        <w:rPr>
          <w:rFonts w:ascii="Century Gothic" w:hAnsi="Century Gothic" w:cs="Helvetica"/>
          <w:color w:val="000000"/>
          <w:sz w:val="20"/>
          <w:szCs w:val="20"/>
        </w:rPr>
        <w:t>.</w:t>
      </w:r>
      <w:proofErr w:type="gramEnd"/>
      <w:r w:rsidRPr="00137450">
        <w:rPr>
          <w:rFonts w:ascii="Century Gothic" w:hAnsi="Century Gothic" w:cs="Helvetica"/>
          <w:color w:val="000000"/>
          <w:sz w:val="20"/>
          <w:szCs w:val="20"/>
          <w:lang w:val="id-ID"/>
        </w:rPr>
        <w:t xml:space="preserve"> </w:t>
      </w:r>
    </w:p>
    <w:p w:rsidR="003647D0" w:rsidRPr="00137450" w:rsidRDefault="003647D0" w:rsidP="003647D0">
      <w:pPr>
        <w:autoSpaceDE w:val="0"/>
        <w:autoSpaceDN w:val="0"/>
        <w:adjustRightInd w:val="0"/>
        <w:spacing w:after="0" w:line="360" w:lineRule="auto"/>
        <w:jc w:val="both"/>
        <w:rPr>
          <w:rFonts w:ascii="Century Gothic" w:hAnsi="Century Gothic" w:cs="Helvetica-Bold"/>
          <w:b/>
          <w:bCs/>
          <w:color w:val="000000"/>
          <w:sz w:val="20"/>
          <w:szCs w:val="20"/>
        </w:rPr>
      </w:pPr>
    </w:p>
    <w:p w:rsidR="003647D0" w:rsidRPr="00137450" w:rsidRDefault="003647D0" w:rsidP="003647D0">
      <w:pPr>
        <w:autoSpaceDE w:val="0"/>
        <w:autoSpaceDN w:val="0"/>
        <w:adjustRightInd w:val="0"/>
        <w:spacing w:after="0" w:line="360" w:lineRule="auto"/>
        <w:jc w:val="both"/>
        <w:rPr>
          <w:rFonts w:ascii="Century Gothic" w:hAnsi="Century Gothic" w:cs="Helvetica-Bold"/>
          <w:b/>
          <w:bCs/>
          <w:color w:val="000000"/>
          <w:sz w:val="20"/>
          <w:szCs w:val="20"/>
        </w:rPr>
      </w:pPr>
      <w:r w:rsidRPr="00137450">
        <w:rPr>
          <w:rFonts w:ascii="Century Gothic" w:hAnsi="Century Gothic" w:cs="Helvetica-Bold"/>
          <w:b/>
          <w:bCs/>
          <w:color w:val="000000"/>
          <w:sz w:val="20"/>
          <w:szCs w:val="20"/>
        </w:rPr>
        <w:t>2. Analisis Kondisi Eksternal</w:t>
      </w:r>
    </w:p>
    <w:p w:rsidR="003647D0" w:rsidRPr="00137450" w:rsidRDefault="003647D0" w:rsidP="003647D0">
      <w:pPr>
        <w:autoSpaceDE w:val="0"/>
        <w:autoSpaceDN w:val="0"/>
        <w:adjustRightInd w:val="0"/>
        <w:spacing w:after="0" w:line="360" w:lineRule="auto"/>
        <w:jc w:val="both"/>
        <w:rPr>
          <w:rFonts w:ascii="Century Gothic" w:hAnsi="Century Gothic" w:cs="Helvetica"/>
          <w:b/>
          <w:color w:val="FF0000"/>
          <w:sz w:val="24"/>
          <w:szCs w:val="24"/>
        </w:rPr>
      </w:pPr>
      <w:r w:rsidRPr="00137450">
        <w:rPr>
          <w:rFonts w:ascii="Century Gothic" w:hAnsi="Century Gothic" w:cs="Helvetica"/>
          <w:b/>
          <w:color w:val="FF0000"/>
          <w:sz w:val="24"/>
          <w:szCs w:val="24"/>
        </w:rPr>
        <w:t>Peluang</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sz w:val="20"/>
          <w:szCs w:val="20"/>
        </w:rPr>
        <w:t>Pertama</w:t>
      </w:r>
      <w:r w:rsidRPr="00137450">
        <w:rPr>
          <w:rFonts w:ascii="Century Gothic" w:hAnsi="Century Gothic" w:cs="Helvetica"/>
          <w:sz w:val="20"/>
          <w:szCs w:val="20"/>
        </w:rPr>
        <w:t>:</w:t>
      </w:r>
      <w:r w:rsidRPr="00137450">
        <w:rPr>
          <w:rFonts w:ascii="Century Gothic" w:hAnsi="Century Gothic" w:cs="Helvetica"/>
          <w:color w:val="891824"/>
          <w:sz w:val="20"/>
          <w:szCs w:val="20"/>
        </w:rPr>
        <w:t xml:space="preserve"> </w:t>
      </w:r>
      <w:r w:rsidRPr="00137450">
        <w:rPr>
          <w:rFonts w:ascii="Century Gothic" w:hAnsi="Century Gothic" w:cs="Tahoma"/>
          <w:spacing w:val="-6"/>
          <w:sz w:val="20"/>
          <w:szCs w:val="20"/>
        </w:rPr>
        <w:t xml:space="preserve">Secara geostrategic </w:t>
      </w:r>
      <w:r w:rsidRPr="00137450">
        <w:rPr>
          <w:rFonts w:ascii="Century Gothic" w:hAnsi="Century Gothic" w:cs="Tahoma"/>
          <w:spacing w:val="-6"/>
          <w:sz w:val="20"/>
          <w:szCs w:val="20"/>
          <w:lang w:val="id-ID"/>
        </w:rPr>
        <w:t xml:space="preserve">Kota Baubau </w:t>
      </w:r>
      <w:r w:rsidRPr="00137450">
        <w:rPr>
          <w:rFonts w:ascii="Century Gothic" w:hAnsi="Century Gothic" w:cs="Tahoma"/>
          <w:spacing w:val="-6"/>
          <w:sz w:val="20"/>
          <w:szCs w:val="20"/>
        </w:rPr>
        <w:t xml:space="preserve">berperan </w:t>
      </w:r>
      <w:r w:rsidRPr="00137450">
        <w:rPr>
          <w:rFonts w:ascii="Century Gothic" w:hAnsi="Century Gothic" w:cs="Tahoma"/>
          <w:spacing w:val="-6"/>
          <w:sz w:val="20"/>
          <w:szCs w:val="20"/>
          <w:lang w:val="id-ID"/>
        </w:rPr>
        <w:t xml:space="preserve">sebagai </w:t>
      </w:r>
      <w:proofErr w:type="gramStart"/>
      <w:r w:rsidRPr="00137450">
        <w:rPr>
          <w:rFonts w:ascii="Century Gothic" w:hAnsi="Century Gothic" w:cs="Tahoma"/>
          <w:spacing w:val="-6"/>
          <w:sz w:val="20"/>
          <w:szCs w:val="20"/>
          <w:lang w:val="id-ID"/>
        </w:rPr>
        <w:t>kota</w:t>
      </w:r>
      <w:proofErr w:type="gramEnd"/>
      <w:r w:rsidRPr="00137450">
        <w:rPr>
          <w:rFonts w:ascii="Century Gothic" w:hAnsi="Century Gothic" w:cs="Tahoma"/>
          <w:spacing w:val="-6"/>
          <w:sz w:val="20"/>
          <w:szCs w:val="20"/>
          <w:lang w:val="id-ID"/>
        </w:rPr>
        <w:t xml:space="preserve"> transit sekaligus daerah penghubung (</w:t>
      </w:r>
      <w:r w:rsidRPr="00137450">
        <w:rPr>
          <w:rFonts w:ascii="Century Gothic" w:hAnsi="Century Gothic" w:cs="Tahoma"/>
          <w:i/>
          <w:iCs/>
          <w:spacing w:val="-6"/>
          <w:sz w:val="20"/>
          <w:szCs w:val="20"/>
          <w:lang w:val="id-ID"/>
        </w:rPr>
        <w:t>connecting area</w:t>
      </w:r>
      <w:r w:rsidRPr="00137450">
        <w:rPr>
          <w:rFonts w:ascii="Century Gothic" w:hAnsi="Century Gothic" w:cs="Tahoma"/>
          <w:spacing w:val="-6"/>
          <w:sz w:val="20"/>
          <w:szCs w:val="20"/>
          <w:lang w:val="id-ID"/>
        </w:rPr>
        <w:t>) antara Kawasan Barat Indonesia (KBI) dengan Kawasan Timur Indonesia (KTI)</w:t>
      </w:r>
      <w:r w:rsidRPr="00137450">
        <w:rPr>
          <w:rFonts w:ascii="Century Gothic" w:hAnsi="Century Gothic" w:cs="Tahoma"/>
          <w:spacing w:val="-6"/>
          <w:sz w:val="20"/>
          <w:szCs w:val="20"/>
        </w:rPr>
        <w:t xml:space="preserve">, dimana Kota Baubau berperan sebagai titik transit bagi Jalur Nasional Sekunder yang menghubungan ALKI III dan ALKI II dalam rencana Pengembangan MP3EI di Sulawesi Tenggara. </w:t>
      </w:r>
      <w:proofErr w:type="gramStart"/>
      <w:r w:rsidRPr="00137450">
        <w:rPr>
          <w:rFonts w:ascii="Century Gothic" w:hAnsi="Century Gothic" w:cs="Tahoma"/>
          <w:spacing w:val="-6"/>
          <w:sz w:val="20"/>
          <w:szCs w:val="20"/>
        </w:rPr>
        <w:t xml:space="preserve">Letak </w:t>
      </w:r>
      <w:r w:rsidRPr="00137450">
        <w:rPr>
          <w:rFonts w:ascii="Century Gothic" w:hAnsi="Century Gothic" w:cs="Helvetica"/>
          <w:color w:val="000000"/>
          <w:spacing w:val="-6"/>
          <w:sz w:val="20"/>
          <w:szCs w:val="20"/>
        </w:rPr>
        <w:t>Kota Baubau</w:t>
      </w:r>
      <w:r w:rsidRPr="00137450">
        <w:rPr>
          <w:rFonts w:ascii="Century Gothic" w:hAnsi="Century Gothic" w:cs="Tahoma"/>
          <w:spacing w:val="-6"/>
          <w:sz w:val="20"/>
          <w:szCs w:val="20"/>
        </w:rPr>
        <w:t xml:space="preserve"> yang strategis </w:t>
      </w:r>
      <w:r w:rsidRPr="00137450">
        <w:rPr>
          <w:rFonts w:ascii="Century Gothic" w:hAnsi="Century Gothic" w:cs="Helvetica"/>
          <w:color w:val="000000"/>
          <w:spacing w:val="-6"/>
          <w:sz w:val="20"/>
          <w:szCs w:val="20"/>
        </w:rPr>
        <w:t>dapat membuka peluang bagi sektor perdagangan dan jasa di Kota Baubau untuk lebih berkembang di pasar regional, nasional dan bahkan Internasional.</w:t>
      </w:r>
      <w:proofErr w:type="gramEnd"/>
      <w:r w:rsidRPr="00137450">
        <w:rPr>
          <w:rFonts w:ascii="Century Gothic" w:hAnsi="Century Gothic" w:cs="Helvetica"/>
          <w:color w:val="000000"/>
          <w:spacing w:val="-6"/>
          <w:sz w:val="20"/>
          <w:szCs w:val="20"/>
        </w:rPr>
        <w:t xml:space="preserve"> </w:t>
      </w:r>
      <w:proofErr w:type="gramStart"/>
      <w:r w:rsidRPr="00137450">
        <w:rPr>
          <w:rFonts w:ascii="Century Gothic" w:hAnsi="Century Gothic" w:cs="Helvetica"/>
          <w:color w:val="000000"/>
          <w:spacing w:val="-6"/>
          <w:sz w:val="20"/>
          <w:szCs w:val="20"/>
        </w:rPr>
        <w:t xml:space="preserve">Ditambah lagi dengan penerapan kebijakan integrasi ekonomi Asean atau yang lebih dikenal dengan </w:t>
      </w:r>
      <w:r w:rsidRPr="00137450">
        <w:rPr>
          <w:rFonts w:ascii="Century Gothic" w:hAnsi="Century Gothic" w:cs="Helvetica"/>
          <w:i/>
          <w:color w:val="000000"/>
          <w:spacing w:val="-6"/>
          <w:sz w:val="20"/>
          <w:szCs w:val="20"/>
        </w:rPr>
        <w:t>Asean Economic Community (AEC)</w:t>
      </w:r>
      <w:r w:rsidRPr="00137450">
        <w:rPr>
          <w:rFonts w:ascii="Century Gothic" w:hAnsi="Century Gothic" w:cs="Helvetica"/>
          <w:color w:val="000000"/>
          <w:spacing w:val="-6"/>
          <w:sz w:val="20"/>
          <w:szCs w:val="20"/>
        </w:rPr>
        <w:t xml:space="preserve"> atau masyarakat ekonomi Asean (MEA) yang telah dimulai tahun 2015.</w:t>
      </w:r>
      <w:proofErr w:type="gramEnd"/>
      <w:r w:rsidRPr="00137450">
        <w:rPr>
          <w:rFonts w:ascii="Century Gothic" w:hAnsi="Century Gothic" w:cs="Helvetica"/>
          <w:color w:val="000000"/>
          <w:sz w:val="20"/>
          <w:szCs w:val="20"/>
        </w:rPr>
        <w:t xml:space="preserve"> </w:t>
      </w:r>
    </w:p>
    <w:p w:rsidR="003647D0" w:rsidRDefault="003647D0" w:rsidP="003647D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themeColor="text1"/>
          <w:sz w:val="20"/>
          <w:szCs w:val="20"/>
        </w:rPr>
        <w:t>Kedua</w:t>
      </w:r>
      <w:r w:rsidRPr="00137450">
        <w:rPr>
          <w:rFonts w:ascii="Century Gothic" w:hAnsi="Century Gothic" w:cs="Helvetica"/>
          <w:color w:val="891824"/>
          <w:sz w:val="20"/>
          <w:szCs w:val="20"/>
        </w:rPr>
        <w:t>:</w:t>
      </w:r>
      <w:r w:rsidRPr="00137450">
        <w:rPr>
          <w:rFonts w:ascii="Century Gothic" w:hAnsi="Century Gothic" w:cs="Helvetica"/>
          <w:color w:val="000000"/>
          <w:spacing w:val="-4"/>
          <w:sz w:val="20"/>
          <w:szCs w:val="20"/>
        </w:rPr>
        <w:t xml:space="preserve"> </w:t>
      </w:r>
      <w:r w:rsidRPr="00137450">
        <w:rPr>
          <w:rFonts w:ascii="Century Gothic" w:hAnsi="Century Gothic"/>
          <w:color w:val="000000"/>
          <w:spacing w:val="-4"/>
          <w:sz w:val="20"/>
          <w:szCs w:val="20"/>
        </w:rPr>
        <w:t xml:space="preserve">Kota Baubau sebagai </w:t>
      </w:r>
      <w:proofErr w:type="gramStart"/>
      <w:r w:rsidRPr="00137450">
        <w:rPr>
          <w:rFonts w:ascii="Century Gothic" w:hAnsi="Century Gothic"/>
          <w:color w:val="000000"/>
          <w:spacing w:val="-4"/>
          <w:sz w:val="20"/>
          <w:szCs w:val="20"/>
        </w:rPr>
        <w:t>kota</w:t>
      </w:r>
      <w:proofErr w:type="gramEnd"/>
      <w:r w:rsidRPr="00137450">
        <w:rPr>
          <w:rFonts w:ascii="Century Gothic" w:hAnsi="Century Gothic"/>
          <w:color w:val="000000"/>
          <w:spacing w:val="-4"/>
          <w:sz w:val="20"/>
          <w:szCs w:val="20"/>
        </w:rPr>
        <w:t xml:space="preserve"> yang memiliki sejarah panjang yang tumbuh dan berkembang sebagai pusat dari Kerajaan/Kesultanan Wolio sejak berabad-abad yang lalu, merupakan kota yang sangat kaya akan pusaka alam dan pusaka budaya. Sebagai salah satu Kota yang berperan aktif dalam Program Penataan dan Pelestarian Kota Pusaka (P3KP) yang dikembangkan oleh Kementerian Pekerjaan Umum menjadi peluang bagi terwujudnya Kota Baubau sebagai Kota Pusaka Indonesia atau bahkan menjadi Kota Pusaka Dunia </w:t>
      </w:r>
      <w:r w:rsidRPr="00137450">
        <w:rPr>
          <w:rFonts w:ascii="Century Gothic" w:hAnsi="Century Gothic"/>
          <w:i/>
          <w:color w:val="000000"/>
          <w:spacing w:val="-4"/>
          <w:sz w:val="20"/>
          <w:szCs w:val="20"/>
        </w:rPr>
        <w:t>(World Heritage City).</w:t>
      </w:r>
      <w:r w:rsidRPr="00137450">
        <w:rPr>
          <w:rFonts w:ascii="Century Gothic" w:hAnsi="Century Gothic"/>
          <w:color w:val="000000"/>
          <w:spacing w:val="-4"/>
          <w:sz w:val="20"/>
          <w:szCs w:val="20"/>
        </w:rPr>
        <w:t xml:space="preserve"> </w:t>
      </w:r>
      <w:r w:rsidRPr="00137450">
        <w:rPr>
          <w:rFonts w:ascii="Century Gothic" w:hAnsi="Century Gothic" w:cs="Helvetica"/>
          <w:color w:val="000000"/>
          <w:spacing w:val="-4"/>
          <w:sz w:val="20"/>
          <w:szCs w:val="20"/>
        </w:rPr>
        <w:t xml:space="preserve">Selain itu, hubungan bilateral yang dijalin oleh pemerintah Kota Baubau </w:t>
      </w:r>
      <w:proofErr w:type="gramStart"/>
      <w:r w:rsidRPr="00137450">
        <w:rPr>
          <w:rFonts w:ascii="Century Gothic" w:hAnsi="Century Gothic" w:cs="Helvetica"/>
          <w:color w:val="000000"/>
          <w:spacing w:val="-4"/>
          <w:sz w:val="20"/>
          <w:szCs w:val="20"/>
        </w:rPr>
        <w:t>dengan  Korea</w:t>
      </w:r>
      <w:proofErr w:type="gramEnd"/>
      <w:r w:rsidRPr="00137450">
        <w:rPr>
          <w:rFonts w:ascii="Century Gothic" w:hAnsi="Century Gothic" w:cs="Helvetica"/>
          <w:color w:val="000000"/>
          <w:spacing w:val="-4"/>
          <w:sz w:val="20"/>
          <w:szCs w:val="20"/>
        </w:rPr>
        <w:t xml:space="preserve"> </w:t>
      </w:r>
      <w:r w:rsidRPr="00137450">
        <w:rPr>
          <w:rFonts w:ascii="Century Gothic" w:hAnsi="Century Gothic" w:cs="Helvetica"/>
          <w:i/>
          <w:color w:val="000000"/>
          <w:spacing w:val="-4"/>
          <w:sz w:val="20"/>
          <w:szCs w:val="20"/>
        </w:rPr>
        <w:t>(sister city program)</w:t>
      </w:r>
      <w:r w:rsidRPr="00137450">
        <w:rPr>
          <w:rFonts w:ascii="Century Gothic" w:hAnsi="Century Gothic" w:cs="Helvetica"/>
          <w:color w:val="000000"/>
          <w:spacing w:val="-4"/>
          <w:sz w:val="20"/>
          <w:szCs w:val="20"/>
        </w:rPr>
        <w:t xml:space="preserve"> menjadi peluang bagi pemasaran investasi di Kota Baubau. Dengan tumbuhnya perekonomian </w:t>
      </w:r>
      <w:proofErr w:type="gramStart"/>
      <w:r w:rsidRPr="00137450">
        <w:rPr>
          <w:rFonts w:ascii="Century Gothic" w:hAnsi="Century Gothic" w:cs="Helvetica"/>
          <w:color w:val="000000"/>
          <w:spacing w:val="-4"/>
          <w:sz w:val="20"/>
          <w:szCs w:val="20"/>
        </w:rPr>
        <w:t>kota</w:t>
      </w:r>
      <w:proofErr w:type="gramEnd"/>
      <w:r w:rsidRPr="00137450">
        <w:rPr>
          <w:rFonts w:ascii="Century Gothic" w:hAnsi="Century Gothic" w:cs="Helvetica"/>
          <w:color w:val="000000"/>
          <w:spacing w:val="-4"/>
          <w:sz w:val="20"/>
          <w:szCs w:val="20"/>
        </w:rPr>
        <w:t>, maka akan berpotensi semakin memperkuat dan memperluasnya akses kerjasama antara pemerintah Kota Baubau dengan daerah-daerah maupun negara-negara lainnya.</w:t>
      </w:r>
    </w:p>
    <w:p w:rsidR="00137450" w:rsidRPr="00137450" w:rsidRDefault="00137450" w:rsidP="003647D0">
      <w:pPr>
        <w:autoSpaceDE w:val="0"/>
        <w:autoSpaceDN w:val="0"/>
        <w:adjustRightInd w:val="0"/>
        <w:spacing w:after="0" w:line="360" w:lineRule="auto"/>
        <w:jc w:val="both"/>
        <w:rPr>
          <w:rFonts w:ascii="Century Gothic" w:hAnsi="Century Gothic" w:cs="Helvetica"/>
          <w:color w:val="000000"/>
          <w:sz w:val="20"/>
          <w:szCs w:val="20"/>
        </w:rPr>
      </w:pPr>
    </w:p>
    <w:p w:rsidR="003647D0" w:rsidRPr="00137450" w:rsidRDefault="003647D0" w:rsidP="003647D0">
      <w:pPr>
        <w:autoSpaceDE w:val="0"/>
        <w:autoSpaceDN w:val="0"/>
        <w:adjustRightInd w:val="0"/>
        <w:spacing w:after="0" w:line="360" w:lineRule="auto"/>
        <w:jc w:val="both"/>
        <w:rPr>
          <w:rFonts w:ascii="Century Gothic" w:hAnsi="Century Gothic" w:cs="Helvetica"/>
          <w:b/>
          <w:color w:val="FF0000"/>
          <w:sz w:val="24"/>
          <w:szCs w:val="24"/>
        </w:rPr>
      </w:pPr>
      <w:r w:rsidRPr="00137450">
        <w:rPr>
          <w:rFonts w:ascii="Century Gothic" w:hAnsi="Century Gothic" w:cs="Helvetica"/>
          <w:b/>
          <w:color w:val="FF0000"/>
          <w:sz w:val="24"/>
          <w:szCs w:val="24"/>
        </w:rPr>
        <w:t>Ancaman</w:t>
      </w:r>
    </w:p>
    <w:p w:rsidR="003647D0" w:rsidRPr="00137450" w:rsidRDefault="003647D0" w:rsidP="0013745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Pertama</w:t>
      </w:r>
      <w:r w:rsidRPr="00137450">
        <w:rPr>
          <w:rFonts w:ascii="Century Gothic" w:hAnsi="Century Gothic" w:cs="Helvetica"/>
          <w:color w:val="000000"/>
          <w:sz w:val="20"/>
          <w:szCs w:val="20"/>
        </w:rPr>
        <w:t xml:space="preserve">: Melemahnya perekonomian yang melanda Cina dan beberapa negara Eropa yang sedang dalam masa pemulihan (recovery) masih memiliki peluang terjadinya ketidakpastian dalam ekonomi dunia yang kemudian dapat mengganggu stabilitas perekonomian nasional. Hal ini pada akhirnya juga </w:t>
      </w:r>
      <w:proofErr w:type="gramStart"/>
      <w:r w:rsidRPr="00137450">
        <w:rPr>
          <w:rFonts w:ascii="Century Gothic" w:hAnsi="Century Gothic" w:cs="Helvetica"/>
          <w:color w:val="000000"/>
          <w:sz w:val="20"/>
          <w:szCs w:val="20"/>
        </w:rPr>
        <w:t>akan</w:t>
      </w:r>
      <w:proofErr w:type="gramEnd"/>
      <w:r w:rsidRPr="00137450">
        <w:rPr>
          <w:rFonts w:ascii="Century Gothic" w:hAnsi="Century Gothic" w:cs="Helvetica"/>
          <w:color w:val="000000"/>
          <w:sz w:val="20"/>
          <w:szCs w:val="20"/>
        </w:rPr>
        <w:t xml:space="preserve"> berdampak pada perlambatan perekonomian Kota Baubau. Sementara itu krisis energi yang ditandai dengan harga minyak dunia yang belum stabil dan masih menunjukkan tren meningkat, praktis </w:t>
      </w:r>
      <w:proofErr w:type="gramStart"/>
      <w:r w:rsidRPr="00137450">
        <w:rPr>
          <w:rFonts w:ascii="Century Gothic" w:hAnsi="Century Gothic" w:cs="Helvetica"/>
          <w:color w:val="000000"/>
          <w:sz w:val="20"/>
          <w:szCs w:val="20"/>
        </w:rPr>
        <w:t>akan</w:t>
      </w:r>
      <w:proofErr w:type="gramEnd"/>
      <w:r w:rsidRPr="00137450">
        <w:rPr>
          <w:rFonts w:ascii="Century Gothic" w:hAnsi="Century Gothic" w:cs="Helvetica"/>
          <w:color w:val="000000"/>
          <w:sz w:val="20"/>
          <w:szCs w:val="20"/>
        </w:rPr>
        <w:t xml:space="preserve"> mendorong inflasi ke tingkat yang lebih tinggi.</w:t>
      </w:r>
    </w:p>
    <w:p w:rsidR="003647D0" w:rsidRPr="00137450" w:rsidRDefault="003647D0" w:rsidP="00137450">
      <w:pPr>
        <w:autoSpaceDE w:val="0"/>
        <w:autoSpaceDN w:val="0"/>
        <w:adjustRightInd w:val="0"/>
        <w:spacing w:after="0" w:line="360" w:lineRule="auto"/>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lastRenderedPageBreak/>
        <w:t>Kedua</w:t>
      </w:r>
      <w:r w:rsidRPr="00137450">
        <w:rPr>
          <w:rFonts w:ascii="Century Gothic" w:hAnsi="Century Gothic" w:cs="Helvetica"/>
          <w:color w:val="891824"/>
          <w:sz w:val="20"/>
          <w:szCs w:val="20"/>
        </w:rPr>
        <w:t xml:space="preserve">: </w:t>
      </w:r>
      <w:r w:rsidRPr="00137450">
        <w:rPr>
          <w:rFonts w:ascii="Century Gothic" w:hAnsi="Century Gothic" w:cs="Helvetica"/>
          <w:color w:val="000000"/>
          <w:sz w:val="20"/>
          <w:szCs w:val="20"/>
        </w:rPr>
        <w:t>Ketidakstabilan cuaca/iklim terbukti dapat mempengaruhi peningkatan harga barang/komoditas pangan yang kemudian menekan inflasi Kota Baubau ke angka yang lebih tinggi.</w:t>
      </w:r>
    </w:p>
    <w:p w:rsidR="003647D0" w:rsidRPr="00137450" w:rsidRDefault="003647D0" w:rsidP="00137450">
      <w:pPr>
        <w:autoSpaceDE w:val="0"/>
        <w:autoSpaceDN w:val="0"/>
        <w:adjustRightInd w:val="0"/>
        <w:spacing w:after="0" w:line="360" w:lineRule="auto"/>
        <w:jc w:val="both"/>
        <w:rPr>
          <w:rFonts w:ascii="Century Gothic" w:hAnsi="Century Gothic" w:cs="Helvetica"/>
          <w:color w:val="000000"/>
          <w:spacing w:val="-4"/>
          <w:sz w:val="20"/>
          <w:szCs w:val="20"/>
        </w:rPr>
      </w:pPr>
      <w:r w:rsidRPr="00137450">
        <w:rPr>
          <w:rFonts w:ascii="Century Gothic" w:hAnsi="Century Gothic" w:cs="Helvetica-Bold"/>
          <w:b/>
          <w:bCs/>
          <w:spacing w:val="-4"/>
          <w:sz w:val="20"/>
          <w:szCs w:val="20"/>
        </w:rPr>
        <w:t>Ketiga</w:t>
      </w:r>
      <w:r w:rsidRPr="00137450">
        <w:rPr>
          <w:rFonts w:ascii="Century Gothic" w:hAnsi="Century Gothic" w:cs="Helvetica"/>
          <w:color w:val="891824"/>
          <w:spacing w:val="-4"/>
          <w:sz w:val="20"/>
          <w:szCs w:val="20"/>
        </w:rPr>
        <w:t xml:space="preserve">: </w:t>
      </w:r>
      <w:r w:rsidRPr="00137450">
        <w:rPr>
          <w:rFonts w:ascii="Century Gothic" w:hAnsi="Century Gothic" w:cs="Helvetica"/>
          <w:color w:val="000000"/>
          <w:spacing w:val="-4"/>
          <w:sz w:val="20"/>
          <w:szCs w:val="20"/>
        </w:rPr>
        <w:t xml:space="preserve">Perdagangan internasional yang semakin bebas seperti implementasi ACFTA dan beberapa perjanjian perdagangan bilateral lainnya dikhawatirkan </w:t>
      </w:r>
      <w:proofErr w:type="gramStart"/>
      <w:r w:rsidRPr="00137450">
        <w:rPr>
          <w:rFonts w:ascii="Century Gothic" w:hAnsi="Century Gothic" w:cs="Helvetica"/>
          <w:color w:val="000000"/>
          <w:spacing w:val="-4"/>
          <w:sz w:val="20"/>
          <w:szCs w:val="20"/>
        </w:rPr>
        <w:t>akan</w:t>
      </w:r>
      <w:proofErr w:type="gramEnd"/>
      <w:r w:rsidRPr="00137450">
        <w:rPr>
          <w:rFonts w:ascii="Century Gothic" w:hAnsi="Century Gothic" w:cs="Helvetica"/>
          <w:color w:val="000000"/>
          <w:spacing w:val="-4"/>
          <w:sz w:val="20"/>
          <w:szCs w:val="20"/>
        </w:rPr>
        <w:t xml:space="preserve"> berdampak pada daya saing produk lokal menjadi kurang kompetitif, jika struktur perdagangan daerah tidak dikuatkan terlebih dahulu. Bukan hanya produk barang tetapi di sektor jasa juga harus bersiap bersaing dengan jasa yang berasal dari luar negeri seperti perusahaan konstruksi, jasa kesehatan dan lainnya, sehingga penguatan Sumber Daya Manusia (SDM) serta daya saing produk-produk lokal perlu ditingkatkan melalui program program pembangunan yang direncanakan oleh Pemerintah Kota Baubau.</w:t>
      </w:r>
    </w:p>
    <w:p w:rsidR="003647D0" w:rsidRPr="00137450" w:rsidRDefault="003647D0" w:rsidP="003647D0">
      <w:pPr>
        <w:autoSpaceDE w:val="0"/>
        <w:autoSpaceDN w:val="0"/>
        <w:adjustRightInd w:val="0"/>
        <w:spacing w:after="0" w:line="360" w:lineRule="auto"/>
        <w:jc w:val="both"/>
        <w:rPr>
          <w:rFonts w:ascii="Century Gothic" w:hAnsi="Century Gothic" w:cs="Helvetica"/>
          <w:color w:val="000000"/>
          <w:sz w:val="20"/>
          <w:szCs w:val="20"/>
        </w:rPr>
      </w:pPr>
    </w:p>
    <w:p w:rsidR="003647D0" w:rsidRPr="00137450" w:rsidRDefault="003647D0" w:rsidP="00F8160D">
      <w:pPr>
        <w:pStyle w:val="ListParagraph"/>
        <w:numPr>
          <w:ilvl w:val="0"/>
          <w:numId w:val="6"/>
        </w:numPr>
        <w:autoSpaceDE w:val="0"/>
        <w:autoSpaceDN w:val="0"/>
        <w:adjustRightInd w:val="0"/>
        <w:spacing w:line="360" w:lineRule="auto"/>
        <w:ind w:left="360"/>
        <w:contextualSpacing w:val="0"/>
        <w:jc w:val="both"/>
        <w:rPr>
          <w:rFonts w:ascii="Century Gothic" w:hAnsi="Century Gothic" w:cs="Helvetica"/>
          <w:color w:val="000000"/>
          <w:sz w:val="20"/>
          <w:szCs w:val="20"/>
        </w:rPr>
      </w:pPr>
      <w:r w:rsidRPr="00137450">
        <w:rPr>
          <w:rFonts w:ascii="Century Gothic" w:hAnsi="Century Gothic" w:cs="Helvetica-Bold"/>
          <w:b/>
          <w:bCs/>
          <w:color w:val="000000"/>
          <w:sz w:val="20"/>
          <w:szCs w:val="20"/>
        </w:rPr>
        <w:t>Prospek Perekonomian Daerah Tahun 2016 Dan 2017</w:t>
      </w:r>
    </w:p>
    <w:p w:rsidR="003647D0" w:rsidRPr="00137450" w:rsidRDefault="003647D0" w:rsidP="003647D0">
      <w:pPr>
        <w:autoSpaceDE w:val="0"/>
        <w:autoSpaceDN w:val="0"/>
        <w:adjustRightInd w:val="0"/>
        <w:spacing w:after="0" w:line="360" w:lineRule="auto"/>
        <w:ind w:firstLine="720"/>
        <w:jc w:val="both"/>
        <w:rPr>
          <w:rFonts w:ascii="Century Gothic" w:hAnsi="Century Gothic" w:cs="Arial"/>
          <w:sz w:val="20"/>
          <w:szCs w:val="20"/>
          <w:lang w:val="id-ID"/>
        </w:rPr>
      </w:pPr>
      <w:r w:rsidRPr="00137450">
        <w:rPr>
          <w:rFonts w:ascii="Century Gothic" w:hAnsi="Century Gothic" w:cs="Helvetica"/>
          <w:color w:val="000000"/>
          <w:sz w:val="20"/>
          <w:szCs w:val="20"/>
        </w:rPr>
        <w:t xml:space="preserve">Berdasarkan asumsi-asumsi dari kondisi ekonomi </w:t>
      </w:r>
      <w:r w:rsidRPr="00137450">
        <w:rPr>
          <w:rFonts w:ascii="Century Gothic" w:hAnsi="Century Gothic" w:cs="Helvetica"/>
          <w:sz w:val="20"/>
          <w:szCs w:val="20"/>
        </w:rPr>
        <w:t xml:space="preserve">pada tahun 2014 dan perkiraan tahun 2015, serta mempertimbangkan tantangan dan prospek ekonomi ke depannya, maka fokus </w:t>
      </w:r>
      <w:r w:rsidRPr="00137450">
        <w:rPr>
          <w:rFonts w:ascii="Century Gothic" w:hAnsi="Century Gothic" w:cs="Arial"/>
          <w:sz w:val="20"/>
          <w:szCs w:val="20"/>
          <w:lang w:val="id-ID"/>
        </w:rPr>
        <w:t xml:space="preserve">kebijakan ekonomi makro Kota Baubau tahun </w:t>
      </w:r>
      <w:r w:rsidRPr="00137450">
        <w:rPr>
          <w:rFonts w:ascii="Century Gothic" w:hAnsi="Century Gothic" w:cs="Arial"/>
          <w:sz w:val="20"/>
          <w:szCs w:val="20"/>
        </w:rPr>
        <w:t>2016</w:t>
      </w:r>
      <w:r w:rsidRPr="00137450">
        <w:rPr>
          <w:rFonts w:ascii="Century Gothic" w:hAnsi="Century Gothic" w:cs="Arial"/>
          <w:sz w:val="20"/>
          <w:szCs w:val="20"/>
          <w:lang w:val="id-ID"/>
        </w:rPr>
        <w:t xml:space="preserve"> adalah</w:t>
      </w:r>
      <w:r w:rsidRPr="00137450">
        <w:rPr>
          <w:rFonts w:ascii="Century Gothic" w:hAnsi="Century Gothic" w:cs="Helvetica"/>
          <w:sz w:val="20"/>
          <w:szCs w:val="20"/>
        </w:rPr>
        <w:t xml:space="preserve"> </w:t>
      </w:r>
      <w:r w:rsidRPr="00137450">
        <w:rPr>
          <w:rFonts w:ascii="Century Gothic" w:hAnsi="Century Gothic"/>
          <w:b/>
          <w:sz w:val="20"/>
          <w:szCs w:val="20"/>
        </w:rPr>
        <w:t>Penguatan Kelembagaan dan SDM untuk mendukung pengembangan Usaha Mikro dan Sektor Unggulan Ekonomi Daerah</w:t>
      </w:r>
      <w:r w:rsidRPr="00137450">
        <w:rPr>
          <w:rFonts w:ascii="Century Gothic" w:hAnsi="Century Gothic"/>
          <w:sz w:val="20"/>
          <w:szCs w:val="20"/>
        </w:rPr>
        <w:t xml:space="preserve">; </w:t>
      </w:r>
      <w:r w:rsidRPr="00137450">
        <w:rPr>
          <w:rFonts w:ascii="Century Gothic" w:hAnsi="Century Gothic" w:cs="Arial"/>
          <w:sz w:val="20"/>
          <w:szCs w:val="20"/>
          <w:lang w:val="id-ID"/>
        </w:rPr>
        <w:t>Adanya situasi keterbatasan keuangan negara dalam pembiayaan</w:t>
      </w:r>
      <w:r w:rsidRPr="00137450">
        <w:rPr>
          <w:rFonts w:ascii="Century Gothic" w:hAnsi="Century Gothic" w:cs="Arial"/>
          <w:sz w:val="20"/>
          <w:szCs w:val="20"/>
        </w:rPr>
        <w:t xml:space="preserve"> </w:t>
      </w:r>
      <w:r w:rsidRPr="00137450">
        <w:rPr>
          <w:rFonts w:ascii="Century Gothic" w:hAnsi="Century Gothic" w:cs="Arial"/>
          <w:sz w:val="20"/>
          <w:szCs w:val="20"/>
          <w:lang w:val="id-ID"/>
        </w:rPr>
        <w:t>pembangunan daerah berimplikasi luas terhadap perekonomian daerah.</w:t>
      </w:r>
      <w:r w:rsidRPr="00137450">
        <w:rPr>
          <w:rFonts w:ascii="Century Gothic" w:hAnsi="Century Gothic" w:cs="Arial"/>
          <w:sz w:val="20"/>
          <w:szCs w:val="20"/>
        </w:rPr>
        <w:t xml:space="preserve"> </w:t>
      </w:r>
      <w:r w:rsidRPr="00137450">
        <w:rPr>
          <w:rFonts w:ascii="Century Gothic" w:hAnsi="Century Gothic" w:cs="Arial"/>
          <w:sz w:val="20"/>
          <w:szCs w:val="20"/>
          <w:lang w:val="id-ID"/>
        </w:rPr>
        <w:t>Pemerintah Kota Baubau dituntut mampu meningkatkan</w:t>
      </w:r>
      <w:r w:rsidRPr="00137450">
        <w:rPr>
          <w:rFonts w:ascii="Century Gothic" w:hAnsi="Century Gothic" w:cs="Arial"/>
          <w:sz w:val="20"/>
          <w:szCs w:val="20"/>
        </w:rPr>
        <w:t xml:space="preserve"> </w:t>
      </w:r>
      <w:r w:rsidRPr="00137450">
        <w:rPr>
          <w:rFonts w:ascii="Century Gothic" w:hAnsi="Century Gothic" w:cs="Arial"/>
          <w:sz w:val="20"/>
          <w:szCs w:val="20"/>
          <w:lang w:val="id-ID"/>
        </w:rPr>
        <w:t>Pendapatan Asli Daerah (PAD) dan meningkatkan efisiensi dan efektivitas</w:t>
      </w:r>
      <w:r w:rsidRPr="00137450">
        <w:rPr>
          <w:rFonts w:ascii="Century Gothic" w:hAnsi="Century Gothic" w:cs="Arial"/>
          <w:sz w:val="20"/>
          <w:szCs w:val="20"/>
        </w:rPr>
        <w:t xml:space="preserve"> </w:t>
      </w:r>
      <w:r w:rsidRPr="00137450">
        <w:rPr>
          <w:rFonts w:ascii="Century Gothic" w:hAnsi="Century Gothic" w:cs="Arial"/>
          <w:sz w:val="20"/>
          <w:szCs w:val="20"/>
          <w:lang w:val="id-ID"/>
        </w:rPr>
        <w:t>dalam pengelolaan keuangan daerah.</w:t>
      </w:r>
    </w:p>
    <w:p w:rsidR="003647D0" w:rsidRPr="00137450" w:rsidRDefault="003647D0" w:rsidP="003647D0">
      <w:pPr>
        <w:autoSpaceDE w:val="0"/>
        <w:autoSpaceDN w:val="0"/>
        <w:adjustRightInd w:val="0"/>
        <w:spacing w:after="0" w:line="360" w:lineRule="auto"/>
        <w:ind w:firstLine="720"/>
        <w:jc w:val="both"/>
        <w:rPr>
          <w:rFonts w:ascii="Century Gothic" w:hAnsi="Century Gothic" w:cs="Arial"/>
          <w:sz w:val="20"/>
          <w:szCs w:val="20"/>
          <w:lang w:val="id-ID"/>
        </w:rPr>
      </w:pPr>
      <w:r w:rsidRPr="00137450">
        <w:rPr>
          <w:rFonts w:ascii="Century Gothic" w:hAnsi="Century Gothic" w:cs="Arial"/>
          <w:sz w:val="20"/>
          <w:szCs w:val="20"/>
        </w:rPr>
        <w:t xml:space="preserve">Berkaitan dengan kondisi yang digambarkan di atas maka usaha-usaha yang harus dilakukan dalam pemantapan ekonomi daerah </w:t>
      </w:r>
      <w:proofErr w:type="gramStart"/>
      <w:r w:rsidRPr="00137450">
        <w:rPr>
          <w:rFonts w:ascii="Century Gothic" w:hAnsi="Century Gothic" w:cs="Arial"/>
          <w:sz w:val="20"/>
          <w:szCs w:val="20"/>
        </w:rPr>
        <w:t>yaitu :</w:t>
      </w:r>
      <w:proofErr w:type="gramEnd"/>
      <w:r w:rsidRPr="00137450">
        <w:rPr>
          <w:rFonts w:ascii="Century Gothic" w:hAnsi="Century Gothic" w:cs="Arial"/>
          <w:sz w:val="20"/>
          <w:szCs w:val="20"/>
        </w:rPr>
        <w:t xml:space="preserve"> </w:t>
      </w:r>
      <w:r w:rsidRPr="00137450">
        <w:rPr>
          <w:rFonts w:ascii="Century Gothic" w:hAnsi="Century Gothic" w:cs="Arial"/>
          <w:b/>
          <w:bCs/>
          <w:sz w:val="20"/>
          <w:szCs w:val="20"/>
          <w:lang w:val="id-ID"/>
        </w:rPr>
        <w:t>Pertama</w:t>
      </w:r>
      <w:r w:rsidRPr="00137450">
        <w:rPr>
          <w:rFonts w:ascii="Century Gothic" w:hAnsi="Century Gothic" w:cs="Arial"/>
          <w:sz w:val="20"/>
          <w:szCs w:val="20"/>
          <w:lang w:val="id-ID"/>
        </w:rPr>
        <w:t>, menciptakan ketenteraman stabilitas ekonomi tahun 201</w:t>
      </w:r>
      <w:r w:rsidRPr="00137450">
        <w:rPr>
          <w:rFonts w:ascii="Century Gothic" w:hAnsi="Century Gothic" w:cs="Arial"/>
          <w:sz w:val="20"/>
          <w:szCs w:val="20"/>
        </w:rPr>
        <w:t>6</w:t>
      </w:r>
      <w:r w:rsidRPr="00137450">
        <w:rPr>
          <w:rFonts w:ascii="Century Gothic" w:hAnsi="Century Gothic" w:cs="Arial"/>
          <w:sz w:val="20"/>
          <w:szCs w:val="20"/>
          <w:lang w:val="id-ID"/>
        </w:rPr>
        <w:t xml:space="preserve"> terjaga baik. </w:t>
      </w:r>
      <w:r w:rsidRPr="00137450">
        <w:rPr>
          <w:rFonts w:ascii="Century Gothic" w:hAnsi="Century Gothic" w:cs="Arial"/>
          <w:b/>
          <w:bCs/>
          <w:sz w:val="20"/>
          <w:szCs w:val="20"/>
          <w:lang w:val="id-ID"/>
        </w:rPr>
        <w:t>Kedua</w:t>
      </w:r>
      <w:r w:rsidRPr="00137450">
        <w:rPr>
          <w:rFonts w:ascii="Century Gothic" w:hAnsi="Century Gothic" w:cs="Arial"/>
          <w:sz w:val="20"/>
          <w:szCs w:val="20"/>
          <w:lang w:val="id-ID"/>
        </w:rPr>
        <w:t>,</w:t>
      </w:r>
      <w:r w:rsidRPr="00137450">
        <w:rPr>
          <w:rFonts w:ascii="Century Gothic" w:hAnsi="Century Gothic" w:cs="Arial"/>
          <w:sz w:val="20"/>
          <w:szCs w:val="20"/>
        </w:rPr>
        <w:t xml:space="preserve"> </w:t>
      </w:r>
      <w:r w:rsidRPr="00137450">
        <w:rPr>
          <w:rFonts w:ascii="Century Gothic" w:hAnsi="Century Gothic" w:cs="Arial"/>
          <w:sz w:val="20"/>
          <w:szCs w:val="20"/>
          <w:lang w:val="id-ID"/>
        </w:rPr>
        <w:t xml:space="preserve">menyederhanakan prosedur perijinan usaha melalui </w:t>
      </w:r>
      <w:r w:rsidRPr="00137450">
        <w:rPr>
          <w:rFonts w:ascii="Century Gothic" w:hAnsi="Century Gothic" w:cs="Arial"/>
          <w:sz w:val="20"/>
          <w:szCs w:val="20"/>
        </w:rPr>
        <w:t xml:space="preserve">Pengembangan sistem pelayanan prima dan </w:t>
      </w:r>
      <w:r w:rsidRPr="00137450">
        <w:rPr>
          <w:rFonts w:ascii="Century Gothic" w:hAnsi="Century Gothic" w:cs="Arial"/>
          <w:i/>
          <w:iCs/>
          <w:sz w:val="20"/>
          <w:szCs w:val="20"/>
        </w:rPr>
        <w:t xml:space="preserve">Good Governance </w:t>
      </w:r>
      <w:r w:rsidRPr="00137450">
        <w:rPr>
          <w:rFonts w:ascii="Century Gothic" w:hAnsi="Century Gothic" w:cs="Arial"/>
          <w:sz w:val="20"/>
          <w:szCs w:val="20"/>
        </w:rPr>
        <w:t>melalui penataan peranan pemerintah</w:t>
      </w:r>
      <w:r w:rsidRPr="00137450">
        <w:rPr>
          <w:rFonts w:ascii="Century Gothic" w:hAnsi="Century Gothic" w:cs="Arial"/>
          <w:sz w:val="20"/>
          <w:szCs w:val="20"/>
          <w:lang w:val="id-ID"/>
        </w:rPr>
        <w:t xml:space="preserve">. </w:t>
      </w:r>
      <w:r w:rsidRPr="00137450">
        <w:rPr>
          <w:rFonts w:ascii="Century Gothic" w:hAnsi="Century Gothic" w:cs="Arial"/>
          <w:b/>
          <w:bCs/>
          <w:sz w:val="20"/>
          <w:szCs w:val="20"/>
          <w:lang w:val="id-ID"/>
        </w:rPr>
        <w:t>Ketiga</w:t>
      </w:r>
      <w:r w:rsidRPr="00137450">
        <w:rPr>
          <w:rFonts w:ascii="Century Gothic" w:hAnsi="Century Gothic" w:cs="Arial"/>
          <w:sz w:val="20"/>
          <w:szCs w:val="20"/>
          <w:lang w:val="id-ID"/>
        </w:rPr>
        <w:t>, menyediakan</w:t>
      </w:r>
      <w:r w:rsidRPr="00137450">
        <w:rPr>
          <w:rFonts w:ascii="Century Gothic" w:hAnsi="Century Gothic" w:cs="Arial"/>
          <w:sz w:val="20"/>
          <w:szCs w:val="20"/>
        </w:rPr>
        <w:t xml:space="preserve"> </w:t>
      </w:r>
      <w:r w:rsidRPr="00137450">
        <w:rPr>
          <w:rFonts w:ascii="Century Gothic" w:hAnsi="Century Gothic" w:cs="Arial"/>
          <w:sz w:val="20"/>
          <w:szCs w:val="20"/>
          <w:lang w:val="id-ID"/>
        </w:rPr>
        <w:t>infrastruktur kota untuk menunjang pertumbuhan dan distribusi ekonomi</w:t>
      </w:r>
      <w:r w:rsidRPr="00137450">
        <w:rPr>
          <w:rFonts w:ascii="Century Gothic" w:hAnsi="Century Gothic" w:cs="Arial"/>
          <w:sz w:val="20"/>
          <w:szCs w:val="20"/>
        </w:rPr>
        <w:t xml:space="preserve"> </w:t>
      </w:r>
      <w:r w:rsidRPr="00137450">
        <w:rPr>
          <w:rFonts w:ascii="Century Gothic" w:hAnsi="Century Gothic" w:cs="Arial"/>
          <w:sz w:val="20"/>
          <w:szCs w:val="20"/>
          <w:lang w:val="id-ID"/>
        </w:rPr>
        <w:t xml:space="preserve">daerah. </w:t>
      </w:r>
      <w:r w:rsidRPr="00137450">
        <w:rPr>
          <w:rFonts w:ascii="Century Gothic" w:hAnsi="Century Gothic" w:cs="Arial"/>
          <w:b/>
          <w:bCs/>
          <w:sz w:val="20"/>
          <w:szCs w:val="20"/>
          <w:lang w:val="id-ID"/>
        </w:rPr>
        <w:t>Keempat</w:t>
      </w:r>
      <w:r w:rsidRPr="00137450">
        <w:rPr>
          <w:rFonts w:ascii="Century Gothic" w:hAnsi="Century Gothic" w:cs="Arial"/>
          <w:sz w:val="20"/>
          <w:szCs w:val="20"/>
          <w:lang w:val="id-ID"/>
        </w:rPr>
        <w:t xml:space="preserve"> pemberdayaan UMKM dan masyarakat</w:t>
      </w:r>
      <w:r w:rsidRPr="00137450">
        <w:rPr>
          <w:rFonts w:ascii="Century Gothic" w:hAnsi="Century Gothic" w:cs="Arial"/>
          <w:sz w:val="20"/>
          <w:szCs w:val="20"/>
        </w:rPr>
        <w:t xml:space="preserve"> </w:t>
      </w:r>
      <w:r w:rsidRPr="00137450">
        <w:rPr>
          <w:rFonts w:ascii="Century Gothic" w:hAnsi="Century Gothic" w:cs="Arial"/>
          <w:sz w:val="20"/>
          <w:szCs w:val="20"/>
          <w:lang w:val="id-ID"/>
        </w:rPr>
        <w:t>miskin dengan meningkatkan koordinasi berbagai institusi melalui jaringan</w:t>
      </w:r>
      <w:r w:rsidRPr="00137450">
        <w:rPr>
          <w:rFonts w:ascii="Century Gothic" w:hAnsi="Century Gothic" w:cs="Arial"/>
          <w:sz w:val="20"/>
          <w:szCs w:val="20"/>
        </w:rPr>
        <w:t xml:space="preserve"> </w:t>
      </w:r>
      <w:r w:rsidRPr="00137450">
        <w:rPr>
          <w:rFonts w:ascii="Century Gothic" w:hAnsi="Century Gothic" w:cs="Arial"/>
          <w:sz w:val="20"/>
          <w:szCs w:val="20"/>
          <w:lang w:val="id-ID"/>
        </w:rPr>
        <w:t xml:space="preserve">sistem keuangan mikro. </w:t>
      </w:r>
      <w:r w:rsidRPr="00137450">
        <w:rPr>
          <w:rFonts w:ascii="Century Gothic" w:hAnsi="Century Gothic" w:cs="Arial"/>
          <w:b/>
          <w:bCs/>
          <w:sz w:val="20"/>
          <w:szCs w:val="20"/>
          <w:lang w:val="id-ID"/>
        </w:rPr>
        <w:t>Kelima</w:t>
      </w:r>
      <w:r w:rsidRPr="00137450">
        <w:rPr>
          <w:rFonts w:ascii="Century Gothic" w:hAnsi="Century Gothic" w:cs="Arial"/>
          <w:sz w:val="20"/>
          <w:szCs w:val="20"/>
          <w:lang w:val="id-ID"/>
        </w:rPr>
        <w:t>, memperbaiki modal sosial khususnya</w:t>
      </w:r>
      <w:r w:rsidRPr="00137450">
        <w:rPr>
          <w:rFonts w:ascii="Century Gothic" w:hAnsi="Century Gothic" w:cs="Arial"/>
          <w:sz w:val="20"/>
          <w:szCs w:val="20"/>
        </w:rPr>
        <w:t xml:space="preserve"> </w:t>
      </w:r>
      <w:r w:rsidRPr="00137450">
        <w:rPr>
          <w:rFonts w:ascii="Century Gothic" w:hAnsi="Century Gothic" w:cs="Arial"/>
          <w:sz w:val="20"/>
          <w:szCs w:val="20"/>
          <w:lang w:val="id-ID"/>
        </w:rPr>
        <w:t xml:space="preserve">etos kerja dalam rangka peningkatan produktivitas kerja. </w:t>
      </w:r>
      <w:r w:rsidRPr="00137450">
        <w:rPr>
          <w:rFonts w:ascii="Century Gothic" w:hAnsi="Century Gothic" w:cs="Arial"/>
          <w:b/>
          <w:bCs/>
          <w:sz w:val="20"/>
          <w:szCs w:val="20"/>
          <w:lang w:val="id-ID"/>
        </w:rPr>
        <w:t>Keenam</w:t>
      </w:r>
      <w:r w:rsidRPr="00137450">
        <w:rPr>
          <w:rFonts w:ascii="Century Gothic" w:hAnsi="Century Gothic" w:cs="Arial"/>
          <w:sz w:val="20"/>
          <w:szCs w:val="20"/>
          <w:lang w:val="id-ID"/>
        </w:rPr>
        <w:t>, efisiensi</w:t>
      </w:r>
      <w:r w:rsidRPr="00137450">
        <w:rPr>
          <w:rFonts w:ascii="Century Gothic" w:hAnsi="Century Gothic" w:cs="Arial"/>
          <w:sz w:val="20"/>
          <w:szCs w:val="20"/>
        </w:rPr>
        <w:t xml:space="preserve"> </w:t>
      </w:r>
      <w:r w:rsidRPr="00137450">
        <w:rPr>
          <w:rFonts w:ascii="Century Gothic" w:hAnsi="Century Gothic" w:cs="Arial"/>
          <w:sz w:val="20"/>
          <w:szCs w:val="20"/>
          <w:lang w:val="id-ID"/>
        </w:rPr>
        <w:t>alokasi sumber daya dan dana dalam perekonomian daerah.</w:t>
      </w:r>
    </w:p>
    <w:p w:rsidR="00137450" w:rsidRDefault="00137450" w:rsidP="003647D0">
      <w:pPr>
        <w:pStyle w:val="ListParagraph"/>
        <w:spacing w:line="360" w:lineRule="auto"/>
        <w:ind w:left="0"/>
        <w:jc w:val="both"/>
        <w:rPr>
          <w:rFonts w:ascii="Century Gothic" w:hAnsi="Century Gothic" w:cs="Arial"/>
          <w:sz w:val="20"/>
          <w:szCs w:val="20"/>
        </w:rPr>
      </w:pPr>
    </w:p>
    <w:p w:rsidR="003647D0" w:rsidRPr="00137450" w:rsidRDefault="003647D0" w:rsidP="003647D0">
      <w:pPr>
        <w:pStyle w:val="ListParagraph"/>
        <w:spacing w:line="360" w:lineRule="auto"/>
        <w:ind w:left="0"/>
        <w:jc w:val="both"/>
        <w:rPr>
          <w:rFonts w:ascii="Century Gothic" w:hAnsi="Century Gothic" w:cs="Arial"/>
          <w:sz w:val="20"/>
          <w:szCs w:val="20"/>
        </w:rPr>
      </w:pPr>
      <w:proofErr w:type="gramStart"/>
      <w:r w:rsidRPr="00137450">
        <w:rPr>
          <w:rFonts w:ascii="Century Gothic" w:hAnsi="Century Gothic" w:cs="Arial"/>
          <w:sz w:val="20"/>
          <w:szCs w:val="20"/>
        </w:rPr>
        <w:t>Berdasarkan kondisi rii</w:t>
      </w:r>
      <w:r w:rsidR="00137450">
        <w:rPr>
          <w:rFonts w:ascii="Century Gothic" w:hAnsi="Century Gothic" w:cs="Arial"/>
          <w:sz w:val="20"/>
          <w:szCs w:val="20"/>
        </w:rPr>
        <w:t>l perekonomian Baubau tahun 2013-2014</w:t>
      </w:r>
      <w:r w:rsidRPr="00137450">
        <w:rPr>
          <w:rFonts w:ascii="Century Gothic" w:hAnsi="Century Gothic" w:cs="Arial"/>
          <w:sz w:val="20"/>
          <w:szCs w:val="20"/>
        </w:rPr>
        <w:t xml:space="preserve"> dan perkiraan 2015, maka prospek perekonomian tahun 2016-2017 dapat diuraikan pada tabel 2.10.</w:t>
      </w:r>
      <w:proofErr w:type="gramEnd"/>
      <w:r w:rsidRPr="00137450">
        <w:rPr>
          <w:rFonts w:ascii="Century Gothic" w:hAnsi="Century Gothic" w:cs="Arial"/>
          <w:sz w:val="20"/>
          <w:szCs w:val="20"/>
        </w:rPr>
        <w:t xml:space="preserve"> </w:t>
      </w:r>
    </w:p>
    <w:p w:rsidR="003647D0" w:rsidRDefault="003647D0" w:rsidP="00FC3E75">
      <w:pPr>
        <w:autoSpaceDE w:val="0"/>
        <w:autoSpaceDN w:val="0"/>
        <w:adjustRightInd w:val="0"/>
        <w:spacing w:after="0" w:line="360" w:lineRule="auto"/>
        <w:jc w:val="both"/>
        <w:rPr>
          <w:rFonts w:ascii="Century Gothic" w:eastAsia="Times New Roman" w:hAnsi="Century Gothic" w:cs="Arial"/>
          <w:color w:val="FF0000"/>
          <w:sz w:val="20"/>
          <w:szCs w:val="20"/>
        </w:rPr>
      </w:pPr>
    </w:p>
    <w:p w:rsidR="000319E3" w:rsidRDefault="000319E3" w:rsidP="00FC3E75">
      <w:pPr>
        <w:tabs>
          <w:tab w:val="left" w:pos="360"/>
        </w:tabs>
        <w:spacing w:after="0" w:line="360" w:lineRule="auto"/>
        <w:ind w:left="720"/>
        <w:jc w:val="center"/>
        <w:rPr>
          <w:rFonts w:ascii="Century Gothic" w:eastAsia="Times New Roman" w:hAnsi="Century Gothic" w:cs="Segoe UI"/>
          <w:color w:val="FF0000"/>
          <w:sz w:val="20"/>
          <w:szCs w:val="20"/>
        </w:rPr>
        <w:sectPr w:rsidR="000319E3" w:rsidSect="003C7CEC">
          <w:headerReference w:type="default" r:id="rId15"/>
          <w:footerReference w:type="default" r:id="rId16"/>
          <w:headerReference w:type="first" r:id="rId17"/>
          <w:pgSz w:w="11907" w:h="16840" w:code="9"/>
          <w:pgMar w:top="1412" w:right="1412" w:bottom="1701" w:left="1985" w:header="720" w:footer="510" w:gutter="0"/>
          <w:pgNumType w:start="1"/>
          <w:cols w:space="720"/>
          <w:titlePg/>
          <w:docGrid w:linePitch="360"/>
        </w:sectPr>
      </w:pPr>
    </w:p>
    <w:p w:rsidR="00E2406D" w:rsidRPr="00FC5DA7" w:rsidRDefault="00D47AA9" w:rsidP="00E2406D">
      <w:pPr>
        <w:tabs>
          <w:tab w:val="left" w:pos="5138"/>
          <w:tab w:val="left" w:pos="6396"/>
          <w:tab w:val="left" w:pos="7735"/>
          <w:tab w:val="left" w:pos="10066"/>
          <w:tab w:val="left" w:pos="11268"/>
          <w:tab w:val="left" w:pos="12607"/>
        </w:tabs>
        <w:spacing w:after="0" w:line="240" w:lineRule="auto"/>
        <w:jc w:val="center"/>
        <w:rPr>
          <w:rFonts w:ascii="Century Gothic" w:eastAsia="Times New Roman" w:hAnsi="Century Gothic" w:cs="Times New Roman"/>
          <w:b/>
          <w:color w:val="000000"/>
          <w:sz w:val="20"/>
          <w:szCs w:val="20"/>
        </w:rPr>
      </w:pPr>
      <w:r>
        <w:rPr>
          <w:rFonts w:ascii="Century Gothic" w:eastAsia="Times New Roman" w:hAnsi="Century Gothic" w:cs="Times New Roman"/>
          <w:b/>
          <w:color w:val="000000"/>
          <w:sz w:val="20"/>
          <w:szCs w:val="20"/>
        </w:rPr>
        <w:lastRenderedPageBreak/>
        <w:t>Tabel 3.4</w:t>
      </w:r>
    </w:p>
    <w:p w:rsidR="00E2406D" w:rsidRPr="00FC5DA7" w:rsidRDefault="00E2406D" w:rsidP="00E2406D">
      <w:pPr>
        <w:tabs>
          <w:tab w:val="left" w:pos="5138"/>
          <w:tab w:val="left" w:pos="6396"/>
          <w:tab w:val="left" w:pos="7735"/>
          <w:tab w:val="left" w:pos="10066"/>
          <w:tab w:val="left" w:pos="11268"/>
          <w:tab w:val="left" w:pos="12607"/>
        </w:tabs>
        <w:spacing w:after="0" w:line="240" w:lineRule="auto"/>
        <w:jc w:val="center"/>
        <w:rPr>
          <w:rFonts w:ascii="Century Gothic" w:eastAsia="Times New Roman" w:hAnsi="Century Gothic" w:cs="Times New Roman"/>
          <w:b/>
          <w:color w:val="000000"/>
          <w:sz w:val="20"/>
          <w:szCs w:val="20"/>
        </w:rPr>
      </w:pPr>
      <w:r w:rsidRPr="00FC5DA7">
        <w:rPr>
          <w:rFonts w:ascii="Century Gothic" w:eastAsia="Times New Roman" w:hAnsi="Century Gothic" w:cs="Times New Roman"/>
          <w:b/>
          <w:color w:val="000000"/>
          <w:sz w:val="20"/>
          <w:szCs w:val="20"/>
        </w:rPr>
        <w:t>Perkembangan Indikator Makro Ekonomi Kota Baubau</w:t>
      </w:r>
    </w:p>
    <w:tbl>
      <w:tblPr>
        <w:tblW w:w="5000" w:type="pct"/>
        <w:tblLook w:val="04A0" w:firstRow="1" w:lastRow="0" w:firstColumn="1" w:lastColumn="0" w:noHBand="0" w:noVBand="1"/>
      </w:tblPr>
      <w:tblGrid>
        <w:gridCol w:w="341"/>
        <w:gridCol w:w="265"/>
        <w:gridCol w:w="5033"/>
        <w:gridCol w:w="1018"/>
        <w:gridCol w:w="1132"/>
        <w:gridCol w:w="1227"/>
        <w:gridCol w:w="1394"/>
        <w:gridCol w:w="1085"/>
        <w:gridCol w:w="1227"/>
        <w:gridCol w:w="1221"/>
      </w:tblGrid>
      <w:tr w:rsidR="00E2406D" w:rsidRPr="00FC5DA7" w:rsidTr="00E2406D">
        <w:trPr>
          <w:trHeight w:val="397"/>
        </w:trPr>
        <w:tc>
          <w:tcPr>
            <w:tcW w:w="122" w:type="pct"/>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No</w:t>
            </w:r>
          </w:p>
        </w:tc>
        <w:tc>
          <w:tcPr>
            <w:tcW w:w="1900" w:type="pct"/>
            <w:gridSpan w:val="2"/>
            <w:vMerge w:val="restart"/>
            <w:tcBorders>
              <w:top w:val="single" w:sz="4" w:space="0" w:color="auto"/>
              <w:left w:val="single" w:sz="4" w:space="0" w:color="auto"/>
              <w:bottom w:val="single" w:sz="4" w:space="0" w:color="000000"/>
              <w:right w:val="single" w:sz="4" w:space="0" w:color="000000"/>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Indikator Makro</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Satuan</w:t>
            </w:r>
          </w:p>
        </w:tc>
        <w:tc>
          <w:tcPr>
            <w:tcW w:w="846" w:type="pct"/>
            <w:gridSpan w:val="2"/>
            <w:tcBorders>
              <w:top w:val="single" w:sz="4" w:space="0" w:color="auto"/>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Realisasi</w:t>
            </w:r>
          </w:p>
        </w:tc>
        <w:tc>
          <w:tcPr>
            <w:tcW w:w="500" w:type="pct"/>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Bertambah/</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Berkurang</w:t>
            </w:r>
          </w:p>
        </w:tc>
        <w:tc>
          <w:tcPr>
            <w:tcW w:w="1267" w:type="pct"/>
            <w:gridSpan w:val="3"/>
            <w:tcBorders>
              <w:top w:val="single" w:sz="4" w:space="0" w:color="auto"/>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Proyeksi</w:t>
            </w:r>
          </w:p>
        </w:tc>
      </w:tr>
      <w:tr w:rsidR="00E2406D" w:rsidRPr="00FC5DA7" w:rsidTr="00E2406D">
        <w:trPr>
          <w:trHeight w:val="397"/>
        </w:trPr>
        <w:tc>
          <w:tcPr>
            <w:tcW w:w="122" w:type="pct"/>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p>
        </w:tc>
        <w:tc>
          <w:tcPr>
            <w:tcW w:w="1900" w:type="pct"/>
            <w:gridSpan w:val="2"/>
            <w:vMerge/>
            <w:tcBorders>
              <w:top w:val="single" w:sz="4" w:space="0" w:color="auto"/>
              <w:left w:val="single" w:sz="4" w:space="0" w:color="auto"/>
              <w:bottom w:val="single" w:sz="4" w:space="0" w:color="auto"/>
              <w:right w:val="single" w:sz="4" w:space="0" w:color="000000"/>
            </w:tcBorders>
            <w:shd w:val="clear" w:color="auto" w:fill="548DD4" w:themeFill="text2" w:themeFillTint="99"/>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p>
        </w:tc>
        <w:tc>
          <w:tcPr>
            <w:tcW w:w="365" w:type="pct"/>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p>
        </w:tc>
        <w:tc>
          <w:tcPr>
            <w:tcW w:w="406" w:type="pct"/>
            <w:tcBorders>
              <w:top w:val="nil"/>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Tahun </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2013</w:t>
            </w:r>
          </w:p>
        </w:tc>
        <w:tc>
          <w:tcPr>
            <w:tcW w:w="440" w:type="pct"/>
            <w:tcBorders>
              <w:top w:val="nil"/>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Tahun </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2014</w:t>
            </w:r>
          </w:p>
        </w:tc>
        <w:tc>
          <w:tcPr>
            <w:tcW w:w="500" w:type="pct"/>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p>
        </w:tc>
        <w:tc>
          <w:tcPr>
            <w:tcW w:w="389" w:type="pct"/>
            <w:tcBorders>
              <w:top w:val="nil"/>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Tahun </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2015</w:t>
            </w:r>
          </w:p>
        </w:tc>
        <w:tc>
          <w:tcPr>
            <w:tcW w:w="440" w:type="pct"/>
            <w:tcBorders>
              <w:top w:val="nil"/>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Tahun </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2016</w:t>
            </w:r>
          </w:p>
        </w:tc>
        <w:tc>
          <w:tcPr>
            <w:tcW w:w="438" w:type="pct"/>
            <w:tcBorders>
              <w:top w:val="nil"/>
              <w:left w:val="nil"/>
              <w:bottom w:val="single" w:sz="4" w:space="0" w:color="auto"/>
              <w:right w:val="single" w:sz="4" w:space="0" w:color="auto"/>
            </w:tcBorders>
            <w:shd w:val="clear" w:color="auto" w:fill="548DD4" w:themeFill="text2" w:themeFillTint="99"/>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Tahun </w:t>
            </w:r>
          </w:p>
          <w:p w:rsidR="00E2406D" w:rsidRPr="00FC5DA7" w:rsidRDefault="00E2406D" w:rsidP="00254E34">
            <w:pPr>
              <w:spacing w:after="0" w:line="240" w:lineRule="auto"/>
              <w:ind w:left="-57" w:right="-57"/>
              <w:jc w:val="center"/>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2017</w:t>
            </w:r>
          </w:p>
        </w:tc>
      </w:tr>
      <w:tr w:rsidR="00E2406D" w:rsidRPr="00FC5DA7" w:rsidTr="00E2406D">
        <w:trPr>
          <w:trHeight w:val="397"/>
        </w:trPr>
        <w:tc>
          <w:tcPr>
            <w:tcW w:w="122" w:type="pct"/>
            <w:tcBorders>
              <w:top w:val="single" w:sz="4" w:space="0" w:color="auto"/>
              <w:left w:val="single" w:sz="4" w:space="0" w:color="auto"/>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1900" w:type="pct"/>
            <w:gridSpan w:val="2"/>
            <w:tcBorders>
              <w:top w:val="single" w:sz="4" w:space="0" w:color="auto"/>
              <w:left w:val="nil"/>
              <w:bottom w:val="single" w:sz="4" w:space="0" w:color="auto"/>
              <w:right w:val="single" w:sz="4" w:space="0" w:color="000000"/>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365"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06"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500"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389"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38" w:type="pct"/>
            <w:tcBorders>
              <w:top w:val="single" w:sz="4" w:space="0" w:color="auto"/>
              <w:left w:val="nil"/>
              <w:bottom w:val="single" w:sz="4" w:space="0" w:color="auto"/>
              <w:right w:val="single" w:sz="4" w:space="0" w:color="auto"/>
            </w:tcBorders>
            <w:shd w:val="clear" w:color="auto" w:fill="auto"/>
            <w:vAlign w:val="center"/>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1.</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PDRB (Harga Berlaku)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Juta Rp</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4.721.040,9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5.324.301,3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603.260,4</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6.007.409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6.816.607</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7.766.842</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2.</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PDRB (Harga Konstan)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Juta Rp</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4.267.642,2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4.635.876,8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368.234,6</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5.052.642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5.518.496</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6.039.994</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3.</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Tingkat Pertumbuhan Ekonomi</w:t>
            </w:r>
            <w:r>
              <w:rPr>
                <w:rFonts w:ascii="Century Gothic" w:eastAsia="Times New Roman" w:hAnsi="Century Gothic" w:cs="Times New Roman"/>
                <w:b/>
                <w:color w:val="000000"/>
                <w:sz w:val="16"/>
                <w:szCs w:val="16"/>
              </w:rPr>
              <w:t xml:space="preserve"> </w:t>
            </w:r>
            <w:r w:rsidRPr="00FC5DA7">
              <w:rPr>
                <w:rFonts w:ascii="Century Gothic" w:eastAsia="Times New Roman" w:hAnsi="Century Gothic" w:cs="Times New Roman"/>
                <w:b/>
                <w:color w:val="000000"/>
                <w:sz w:val="16"/>
                <w:szCs w:val="16"/>
              </w:rPr>
              <w:t xml:space="preserve">/ PDRB Harga Berlaku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11,48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12,78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1,29</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12,83</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13,47</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13,94</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4.</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Tingkat Pertumbuhan Ekonomi</w:t>
            </w:r>
            <w:r>
              <w:rPr>
                <w:rFonts w:ascii="Century Gothic" w:eastAsia="Times New Roman" w:hAnsi="Century Gothic" w:cs="Times New Roman"/>
                <w:b/>
                <w:color w:val="000000"/>
                <w:sz w:val="16"/>
                <w:szCs w:val="16"/>
              </w:rPr>
              <w:t xml:space="preserve"> </w:t>
            </w:r>
            <w:r w:rsidRPr="00FC5DA7">
              <w:rPr>
                <w:rFonts w:ascii="Century Gothic" w:eastAsia="Times New Roman" w:hAnsi="Century Gothic" w:cs="Times New Roman"/>
                <w:b/>
                <w:color w:val="000000"/>
                <w:sz w:val="16"/>
                <w:szCs w:val="16"/>
              </w:rPr>
              <w:t xml:space="preserve">/ PDRB Harga Konstan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7,99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8,63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0,64</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8,99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9,22</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9,45</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5.</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Tingkat Inflasi (y</w:t>
            </w:r>
            <w:r>
              <w:rPr>
                <w:rFonts w:ascii="Century Gothic" w:eastAsia="Times New Roman" w:hAnsi="Century Gothic" w:cs="Times New Roman"/>
                <w:b/>
                <w:color w:val="000000"/>
                <w:sz w:val="16"/>
                <w:szCs w:val="16"/>
              </w:rPr>
              <w:t>-</w:t>
            </w:r>
            <w:r w:rsidRPr="00FC5DA7">
              <w:rPr>
                <w:rFonts w:ascii="Century Gothic" w:eastAsia="Times New Roman" w:hAnsi="Century Gothic" w:cs="Times New Roman"/>
                <w:b/>
                <w:color w:val="000000"/>
                <w:sz w:val="16"/>
                <w:szCs w:val="16"/>
              </w:rPr>
              <w:t>o</w:t>
            </w:r>
            <w:r>
              <w:rPr>
                <w:rFonts w:ascii="Century Gothic" w:eastAsia="Times New Roman" w:hAnsi="Century Gothic" w:cs="Times New Roman"/>
                <w:b/>
                <w:color w:val="000000"/>
                <w:sz w:val="16"/>
                <w:szCs w:val="16"/>
              </w:rPr>
              <w:t>-</w:t>
            </w:r>
            <w:r w:rsidRPr="00FC5DA7">
              <w:rPr>
                <w:rFonts w:ascii="Century Gothic" w:eastAsia="Times New Roman" w:hAnsi="Century Gothic" w:cs="Times New Roman"/>
                <w:b/>
                <w:color w:val="000000"/>
                <w:sz w:val="16"/>
                <w:szCs w:val="16"/>
              </w:rPr>
              <w:t>y Desember)</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8,87</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11,37</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2,50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9,10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8,19</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9,01</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6.</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Struktur PDRB Pendekatan Produksi atau Sektoral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a</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Pertanian, Kehutanan dan Perikanan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15,06</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14,99</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(0,07)</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14,02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13,16</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12,09</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b</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Pertambangan dan Penggalian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4,40</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4,55</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0,15</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4,70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4,81</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4,46</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c</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Industri Pengolahan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4,07</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4,23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0,16</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4,56</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4,73</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d</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Pengadaan Listrik dan Gas</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0,055</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0,053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(0,002)</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0,05</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0,05</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0,05</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e</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Pengadaan air, Pengelolaan Sampah, Limbah dan Daur Ulang</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0,34</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0,35</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0,01</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0,35</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0,36</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0,37</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f</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Konstruksi</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20,57</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19,78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(0,79)</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19,19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19,49</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19,10</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g</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Perdagangan Besar dan Eceran; Reparasi Mobil dan Motor</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17,74</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17,98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0,24</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18,71</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18,95</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19,52</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h</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Transportasi dan Pergudangan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5,41</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5,26</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(0,15)</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5,10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5,65</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6,99</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i</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Penyediaan Akomodasi dan Makan Minum</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1,27</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1,27</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1,31</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1,31</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1,31</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Informasi dan Komunikasi</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3,99</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3,60</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(0,38)</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3,92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4,03</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4,25</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k</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Jasa Keuangan dan Asuransi</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2,95</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3,08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0,12</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3,20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3,32</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3,45</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l</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Real Estate</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3,20</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3,13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(0,07)</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3,06</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2,69</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2,92</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m</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Jasa Perusahaaan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0,16</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0,16</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0,15</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0,15</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0,15</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n</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Administrasi Pemerintahan, Pertanahan dan Jaminan Sosial</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9,37</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9,84</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0,47</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9,31</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8,28</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6,75</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o</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Jasa Pendidikan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6,68</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7,01</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0,33</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7,39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7,81</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8,14</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Jasa Kesehatan dan Kegiatan Sosial</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1,27</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1,25</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(0,02)</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1,62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1,87</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2,22</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q</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Jasa Lainnya</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3,49</w:t>
            </w:r>
          </w:p>
        </w:tc>
        <w:tc>
          <w:tcPr>
            <w:tcW w:w="440"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3,50</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3,51</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3,51</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7.</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 xml:space="preserve">Struktur PDRB Pendekatan Pengeluaran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a</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Konsumsi Rumah Tangga</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61,68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61,33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(0,35)</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60,98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60,63</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60,28</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b</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Konsumsi Pemerintah</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17,98</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(0,02)</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17,96</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17,94</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17,92</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c</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Konsumsi LNPRT</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1,13</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d</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PMTB</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47,27</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46,47</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(0,80)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45,67</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44,87</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44,07</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e</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Perubahan Inventori</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2,81</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2,02</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(0,79)</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1,23</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1,03</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2,24</w:t>
            </w:r>
          </w:p>
        </w:tc>
      </w:tr>
      <w:tr w:rsidR="00E2406D" w:rsidRPr="00FC5DA7" w:rsidTr="00E2406D">
        <w:trPr>
          <w:trHeight w:val="397"/>
        </w:trPr>
        <w:tc>
          <w:tcPr>
            <w:tcW w:w="122" w:type="pct"/>
            <w:tcBorders>
              <w:top w:val="nil"/>
              <w:left w:val="single" w:sz="4" w:space="0" w:color="auto"/>
              <w:bottom w:val="nil"/>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f</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Ekspor</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50,19</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41,82</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(8,37)</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33,45</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35,08</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39,91</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g</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Impor</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81,08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70,77</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(10,31)</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60,46</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55,15</w:t>
            </w: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50,84</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8.</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Jumlah Penduduk Miskin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jiwa</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15.100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sz w:val="16"/>
                <w:szCs w:val="16"/>
              </w:rPr>
            </w:pPr>
            <w:r w:rsidRPr="00FC5DA7">
              <w:rPr>
                <w:rFonts w:ascii="Century Gothic" w:eastAsia="Times New Roman" w:hAnsi="Century Gothic" w:cs="Times New Roman"/>
                <w:sz w:val="16"/>
                <w:szCs w:val="16"/>
              </w:rPr>
              <w:t>16.006</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906,00</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16.806</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16.470</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17.129</w:t>
            </w:r>
          </w:p>
        </w:tc>
      </w:tr>
      <w:tr w:rsidR="00E2406D" w:rsidRPr="00FC5DA7" w:rsidTr="00E2406D">
        <w:trPr>
          <w:trHeight w:val="397"/>
        </w:trPr>
        <w:tc>
          <w:tcPr>
            <w:tcW w:w="122" w:type="pct"/>
            <w:tcBorders>
              <w:top w:val="nil"/>
              <w:left w:val="single" w:sz="4" w:space="0" w:color="auto"/>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9.</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Tingkat Pengangguran</w:t>
            </w:r>
            <w:r w:rsidR="00833E90">
              <w:rPr>
                <w:rFonts w:ascii="Century Gothic" w:eastAsia="Times New Roman" w:hAnsi="Century Gothic" w:cs="Times New Roman"/>
                <w:b/>
                <w:color w:val="000000"/>
                <w:sz w:val="16"/>
                <w:szCs w:val="16"/>
              </w:rPr>
              <w:t xml:space="preserve"> Terbuka</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833E90" w:rsidP="00254E34">
            <w:pPr>
              <w:spacing w:after="0" w:line="240" w:lineRule="auto"/>
              <w:ind w:left="-57" w:right="-57"/>
              <w:jc w:val="center"/>
              <w:rPr>
                <w:rFonts w:ascii="Century Gothic" w:eastAsia="Times New Roman" w:hAnsi="Century Gothic" w:cs="Times New Roman"/>
                <w:color w:val="000000"/>
                <w:sz w:val="16"/>
                <w:szCs w:val="16"/>
              </w:rPr>
            </w:pPr>
            <w:r>
              <w:rPr>
                <w:rFonts w:ascii="Century Gothic" w:eastAsia="Times New Roman" w:hAnsi="Century Gothic" w:cs="Times New Roman"/>
                <w:color w:val="000000"/>
                <w:sz w:val="16"/>
                <w:szCs w:val="16"/>
              </w:rPr>
              <w:t>8,66</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833E90" w:rsidP="00254E34">
            <w:pPr>
              <w:spacing w:after="0" w:line="240" w:lineRule="auto"/>
              <w:ind w:left="-57" w:right="-57"/>
              <w:jc w:val="center"/>
              <w:rPr>
                <w:rFonts w:ascii="Century Gothic" w:eastAsia="Times New Roman" w:hAnsi="Century Gothic" w:cs="Times New Roman"/>
                <w:color w:val="000000"/>
                <w:sz w:val="16"/>
                <w:szCs w:val="16"/>
              </w:rPr>
            </w:pPr>
            <w:r>
              <w:rPr>
                <w:rFonts w:ascii="Century Gothic" w:eastAsia="Times New Roman" w:hAnsi="Century Gothic" w:cs="Times New Roman"/>
                <w:color w:val="000000"/>
                <w:sz w:val="16"/>
                <w:szCs w:val="16"/>
              </w:rPr>
              <w:t>6,79</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833E90">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w:t>
            </w:r>
            <w:r w:rsidR="00833E90">
              <w:rPr>
                <w:rFonts w:ascii="Century Gothic" w:eastAsia="Times New Roman" w:hAnsi="Century Gothic" w:cs="Times New Roman"/>
                <w:color w:val="000000"/>
                <w:sz w:val="16"/>
                <w:szCs w:val="16"/>
              </w:rPr>
              <w:t>4</w:t>
            </w:r>
            <w:r w:rsidRPr="00FC5DA7">
              <w:rPr>
                <w:rFonts w:ascii="Century Gothic" w:eastAsia="Times New Roman" w:hAnsi="Century Gothic" w:cs="Times New Roman"/>
                <w:color w:val="000000"/>
                <w:sz w:val="16"/>
                <w:szCs w:val="16"/>
              </w:rPr>
              <w:t>5</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833E90" w:rsidP="00254E34">
            <w:pPr>
              <w:spacing w:after="0" w:line="240" w:lineRule="auto"/>
              <w:ind w:left="-57" w:right="-57"/>
              <w:jc w:val="center"/>
              <w:rPr>
                <w:rFonts w:ascii="Century Gothic" w:eastAsia="Times New Roman" w:hAnsi="Century Gothic" w:cs="Times New Roman"/>
                <w:color w:val="000000"/>
                <w:sz w:val="16"/>
                <w:szCs w:val="16"/>
              </w:rPr>
            </w:pPr>
            <w:r>
              <w:rPr>
                <w:rFonts w:ascii="Century Gothic" w:eastAsia="Times New Roman" w:hAnsi="Century Gothic" w:cs="Times New Roman"/>
                <w:color w:val="000000"/>
                <w:sz w:val="16"/>
                <w:szCs w:val="16"/>
              </w:rPr>
              <w:t>7,12</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833E90" w:rsidP="00254E34">
            <w:pPr>
              <w:spacing w:after="0" w:line="240" w:lineRule="auto"/>
              <w:ind w:left="-57" w:right="-57"/>
              <w:jc w:val="center"/>
              <w:rPr>
                <w:rFonts w:ascii="Century Gothic" w:eastAsia="Times New Roman" w:hAnsi="Century Gothic" w:cs="Times New Roman"/>
                <w:color w:val="000000"/>
                <w:sz w:val="16"/>
                <w:szCs w:val="16"/>
              </w:rPr>
            </w:pPr>
            <w:r>
              <w:rPr>
                <w:rFonts w:ascii="Century Gothic" w:eastAsia="Times New Roman" w:hAnsi="Century Gothic" w:cs="Times New Roman"/>
                <w:color w:val="000000"/>
                <w:sz w:val="16"/>
                <w:szCs w:val="16"/>
              </w:rPr>
              <w:t>7,4</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833E90" w:rsidP="00254E34">
            <w:pPr>
              <w:spacing w:after="0" w:line="240" w:lineRule="auto"/>
              <w:ind w:left="-57" w:right="-57"/>
              <w:jc w:val="center"/>
              <w:rPr>
                <w:rFonts w:ascii="Century Gothic" w:eastAsia="Times New Roman" w:hAnsi="Century Gothic" w:cs="Times New Roman"/>
                <w:color w:val="000000"/>
                <w:sz w:val="16"/>
                <w:szCs w:val="16"/>
              </w:rPr>
            </w:pPr>
            <w:r>
              <w:rPr>
                <w:rFonts w:ascii="Century Gothic" w:eastAsia="Times New Roman" w:hAnsi="Century Gothic" w:cs="Times New Roman"/>
                <w:color w:val="000000"/>
                <w:sz w:val="16"/>
                <w:szCs w:val="16"/>
              </w:rPr>
              <w:t>7,8</w:t>
            </w:r>
          </w:p>
        </w:tc>
      </w:tr>
      <w:tr w:rsidR="00E2406D" w:rsidRPr="00FC5DA7" w:rsidTr="00E2406D">
        <w:trPr>
          <w:trHeight w:val="397"/>
        </w:trPr>
        <w:tc>
          <w:tcPr>
            <w:tcW w:w="122" w:type="pct"/>
            <w:vMerge w:val="restart"/>
            <w:tcBorders>
              <w:top w:val="nil"/>
              <w:left w:val="single" w:sz="4" w:space="0" w:color="auto"/>
              <w:bottom w:val="single" w:sz="4" w:space="0" w:color="000000"/>
              <w:right w:val="single" w:sz="4" w:space="0" w:color="auto"/>
            </w:tcBorders>
            <w:shd w:val="clear" w:color="auto" w:fill="auto"/>
            <w:hideMark/>
          </w:tcPr>
          <w:p w:rsidR="00E2406D" w:rsidRDefault="00E2406D" w:rsidP="00254E34">
            <w:pPr>
              <w:spacing w:after="0" w:line="240" w:lineRule="auto"/>
              <w:ind w:left="-57" w:right="-57"/>
              <w:jc w:val="center"/>
              <w:rPr>
                <w:rFonts w:ascii="Century Gothic" w:eastAsia="Times New Roman" w:hAnsi="Century Gothic" w:cs="Tahoma"/>
                <w:color w:val="000000"/>
                <w:sz w:val="16"/>
                <w:szCs w:val="16"/>
              </w:rPr>
            </w:pPr>
          </w:p>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10.</w:t>
            </w:r>
          </w:p>
        </w:tc>
        <w:tc>
          <w:tcPr>
            <w:tcW w:w="1900" w:type="pct"/>
            <w:gridSpan w:val="2"/>
            <w:tcBorders>
              <w:top w:val="single" w:sz="4" w:space="0" w:color="auto"/>
              <w:left w:val="nil"/>
              <w:bottom w:val="single" w:sz="4" w:space="0" w:color="auto"/>
              <w:right w:val="single" w:sz="4" w:space="0" w:color="000000"/>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b/>
                <w:color w:val="000000"/>
                <w:sz w:val="16"/>
                <w:szCs w:val="16"/>
              </w:rPr>
            </w:pPr>
            <w:r w:rsidRPr="00FC5DA7">
              <w:rPr>
                <w:rFonts w:ascii="Century Gothic" w:eastAsia="Times New Roman" w:hAnsi="Century Gothic" w:cs="Times New Roman"/>
                <w:b/>
                <w:color w:val="000000"/>
                <w:sz w:val="16"/>
                <w:szCs w:val="16"/>
              </w:rPr>
              <w:t>Disparitas Pendapatan Regional yang dilihat dari perbedaan:</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38" w:type="pct"/>
            <w:tcBorders>
              <w:top w:val="nil"/>
              <w:left w:val="nil"/>
              <w:bottom w:val="single" w:sz="4" w:space="0" w:color="auto"/>
              <w:right w:val="single" w:sz="4" w:space="0" w:color="auto"/>
            </w:tcBorders>
            <w:shd w:val="clear" w:color="auto" w:fill="auto"/>
            <w:noWrap/>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r>
      <w:tr w:rsidR="00E2406D" w:rsidRPr="00FC5DA7" w:rsidTr="00E2406D">
        <w:trPr>
          <w:trHeight w:val="397"/>
        </w:trPr>
        <w:tc>
          <w:tcPr>
            <w:tcW w:w="122" w:type="pct"/>
            <w:vMerge/>
            <w:tcBorders>
              <w:top w:val="nil"/>
              <w:left w:val="single" w:sz="4" w:space="0" w:color="auto"/>
              <w:bottom w:val="single" w:sz="4" w:space="0" w:color="000000"/>
              <w:right w:val="single" w:sz="4" w:space="0" w:color="auto"/>
            </w:tcBorders>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a</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Pendapatan Perkapita</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Rupiah</w:t>
            </w: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30.602.877</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35.147.383</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4.544.505,91</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39.305.318</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44.207.281</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49.929.031</w:t>
            </w:r>
          </w:p>
        </w:tc>
      </w:tr>
      <w:tr w:rsidR="00E2406D" w:rsidRPr="00FC5DA7" w:rsidTr="00E2406D">
        <w:trPr>
          <w:trHeight w:val="397"/>
        </w:trPr>
        <w:tc>
          <w:tcPr>
            <w:tcW w:w="122" w:type="pct"/>
            <w:vMerge/>
            <w:tcBorders>
              <w:top w:val="nil"/>
              <w:left w:val="single" w:sz="4" w:space="0" w:color="auto"/>
              <w:bottom w:val="single" w:sz="4" w:space="0" w:color="000000"/>
              <w:right w:val="single" w:sz="4" w:space="0" w:color="auto"/>
            </w:tcBorders>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p>
        </w:tc>
        <w:tc>
          <w:tcPr>
            <w:tcW w:w="9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ahoma"/>
                <w:color w:val="000000"/>
                <w:sz w:val="16"/>
                <w:szCs w:val="16"/>
              </w:rPr>
            </w:pPr>
            <w:r w:rsidRPr="00FC5DA7">
              <w:rPr>
                <w:rFonts w:ascii="Century Gothic" w:eastAsia="Times New Roman" w:hAnsi="Century Gothic" w:cs="Tahoma"/>
                <w:color w:val="000000"/>
                <w:sz w:val="16"/>
                <w:szCs w:val="16"/>
              </w:rPr>
              <w:t>d</w:t>
            </w:r>
          </w:p>
        </w:tc>
        <w:tc>
          <w:tcPr>
            <w:tcW w:w="180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 xml:space="preserve">Besaran IPM (Indeks Pembangunan Manusia) </w:t>
            </w:r>
          </w:p>
        </w:tc>
        <w:tc>
          <w:tcPr>
            <w:tcW w:w="365"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p>
        </w:tc>
        <w:tc>
          <w:tcPr>
            <w:tcW w:w="406"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73,13</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74,50</w:t>
            </w:r>
          </w:p>
        </w:tc>
        <w:tc>
          <w:tcPr>
            <w:tcW w:w="50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1,37</w:t>
            </w:r>
          </w:p>
        </w:tc>
        <w:tc>
          <w:tcPr>
            <w:tcW w:w="389"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74,90</w:t>
            </w:r>
          </w:p>
        </w:tc>
        <w:tc>
          <w:tcPr>
            <w:tcW w:w="440"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75,20</w:t>
            </w:r>
          </w:p>
        </w:tc>
        <w:tc>
          <w:tcPr>
            <w:tcW w:w="438" w:type="pct"/>
            <w:tcBorders>
              <w:top w:val="nil"/>
              <w:left w:val="nil"/>
              <w:bottom w:val="single" w:sz="4" w:space="0" w:color="auto"/>
              <w:right w:val="single" w:sz="4" w:space="0" w:color="auto"/>
            </w:tcBorders>
            <w:shd w:val="clear" w:color="auto" w:fill="auto"/>
            <w:vAlign w:val="center"/>
            <w:hideMark/>
          </w:tcPr>
          <w:p w:rsidR="00E2406D" w:rsidRPr="00FC5DA7" w:rsidRDefault="00E2406D" w:rsidP="00254E34">
            <w:pPr>
              <w:spacing w:after="0" w:line="240" w:lineRule="auto"/>
              <w:ind w:left="-57" w:right="-57"/>
              <w:jc w:val="center"/>
              <w:rPr>
                <w:rFonts w:ascii="Century Gothic" w:eastAsia="Times New Roman" w:hAnsi="Century Gothic" w:cs="Times New Roman"/>
                <w:color w:val="000000"/>
                <w:sz w:val="16"/>
                <w:szCs w:val="16"/>
              </w:rPr>
            </w:pPr>
            <w:r w:rsidRPr="00FC5DA7">
              <w:rPr>
                <w:rFonts w:ascii="Century Gothic" w:eastAsia="Times New Roman" w:hAnsi="Century Gothic" w:cs="Times New Roman"/>
                <w:color w:val="000000"/>
                <w:sz w:val="16"/>
                <w:szCs w:val="16"/>
              </w:rPr>
              <w:t>75,80</w:t>
            </w:r>
          </w:p>
        </w:tc>
      </w:tr>
    </w:tbl>
    <w:p w:rsidR="00162626" w:rsidRPr="00D6046B" w:rsidRDefault="00E2406D" w:rsidP="00D6046B">
      <w:pPr>
        <w:autoSpaceDE w:val="0"/>
        <w:autoSpaceDN w:val="0"/>
        <w:adjustRightInd w:val="0"/>
        <w:spacing w:after="0" w:line="360" w:lineRule="auto"/>
        <w:jc w:val="both"/>
        <w:rPr>
          <w:rFonts w:ascii="Century Gothic" w:eastAsia="Times New Roman" w:hAnsi="Century Gothic" w:cs="Arial"/>
          <w:i/>
          <w:sz w:val="16"/>
          <w:szCs w:val="16"/>
        </w:rPr>
      </w:pPr>
      <w:r w:rsidRPr="00FC5DA7">
        <w:rPr>
          <w:rFonts w:ascii="Century Gothic" w:eastAsia="Times New Roman" w:hAnsi="Century Gothic" w:cs="Arial"/>
          <w:i/>
          <w:sz w:val="16"/>
          <w:szCs w:val="16"/>
        </w:rPr>
        <w:t>Sumber: BPS (2015), Bank Indonesia (2015), Bapp</w:t>
      </w:r>
      <w:r w:rsidR="00D6046B">
        <w:rPr>
          <w:rFonts w:ascii="Century Gothic" w:eastAsia="Times New Roman" w:hAnsi="Century Gothic" w:cs="Arial"/>
          <w:i/>
          <w:sz w:val="16"/>
          <w:szCs w:val="16"/>
        </w:rPr>
        <w:t xml:space="preserve">eda Kota Baubau (2015), diolah </w:t>
      </w:r>
    </w:p>
    <w:sectPr w:rsidR="00162626" w:rsidRPr="00D6046B" w:rsidSect="00D6046B">
      <w:headerReference w:type="default" r:id="rId18"/>
      <w:footerReference w:type="default" r:id="rId19"/>
      <w:headerReference w:type="first" r:id="rId20"/>
      <w:pgSz w:w="16840" w:h="11907" w:orient="landscape" w:code="9"/>
      <w:pgMar w:top="1412" w:right="1701" w:bottom="1985" w:left="1412" w:header="720" w:footer="510" w:gutter="0"/>
      <w:pgNumType w:start="135"/>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2F05" w:rsidRDefault="00262F05" w:rsidP="00655E08">
      <w:pPr>
        <w:spacing w:after="0" w:line="240" w:lineRule="auto"/>
      </w:pPr>
      <w:r>
        <w:separator/>
      </w:r>
    </w:p>
  </w:endnote>
  <w:endnote w:type="continuationSeparator" w:id="0">
    <w:p w:rsidR="00262F05" w:rsidRDefault="00262F05" w:rsidP="006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287" w:usb1="0000000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Georgia-Italic">
    <w:panose1 w:val="00000000000000000000"/>
    <w:charset w:val="00"/>
    <w:family w:val="roman"/>
    <w:notTrueType/>
    <w:pitch w:val="default"/>
    <w:sig w:usb0="00000003" w:usb1="00000000" w:usb2="00000000" w:usb3="00000000" w:csb0="00000001" w:csb1="00000000"/>
  </w:font>
  <w:font w:name="Cambria,Italic">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tbl>
    <w:tblPr>
      <w:tblpPr w:leftFromText="187" w:rightFromText="187" w:vertAnchor="page" w:horzAnchor="page" w:tblpXSpec="right" w:tblpYSpec="bottom"/>
      <w:tblW w:w="550" w:type="pct"/>
      <w:tblLook w:val="04A0" w:firstRow="1" w:lastRow="0" w:firstColumn="1" w:lastColumn="0" w:noHBand="0" w:noVBand="1"/>
    </w:tblPr>
    <w:tblGrid>
      <w:gridCol w:w="1159"/>
    </w:tblGrid>
    <w:tr w:rsidR="00254E34" w:rsidTr="00BB0555">
      <w:trPr>
        <w:trHeight w:val="10166"/>
      </w:trPr>
      <w:tc>
        <w:tcPr>
          <w:tcW w:w="960" w:type="dxa"/>
          <w:tcBorders>
            <w:bottom w:val="single" w:sz="4" w:space="0" w:color="auto"/>
          </w:tcBorders>
          <w:textDirection w:val="btLr"/>
        </w:tcPr>
        <w:p w:rsidR="00254E34" w:rsidRDefault="00254E34">
          <w:pPr>
            <w:pStyle w:val="Header"/>
            <w:ind w:left="113" w:right="113"/>
            <w:rPr>
              <w:rFonts w:ascii="Berlin Sans FB Demi" w:hAnsi="Berlin Sans FB Demi"/>
              <w:color w:val="595959" w:themeColor="text1" w:themeTint="A6"/>
              <w:sz w:val="36"/>
              <w:szCs w:val="36"/>
            </w:rPr>
          </w:pPr>
        </w:p>
        <w:p w:rsidR="00254E34" w:rsidRPr="00BB0555" w:rsidRDefault="00254E34"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254E34" w:rsidTr="00BB0555">
      <w:tc>
        <w:tcPr>
          <w:tcW w:w="960" w:type="dxa"/>
          <w:tcBorders>
            <w:top w:val="single" w:sz="4" w:space="0" w:color="auto"/>
          </w:tcBorders>
        </w:tcPr>
        <w:p w:rsidR="00254E34" w:rsidRPr="004D6632" w:rsidRDefault="00912A2F">
          <w:pPr>
            <w:pStyle w:val="Footer"/>
            <w:rPr>
              <w:sz w:val="24"/>
              <w:szCs w:val="24"/>
              <w14:numForm w14:val="lining"/>
            </w:rPr>
          </w:pPr>
          <w:r>
            <w:rPr>
              <w:sz w:val="28"/>
              <w:szCs w:val="28"/>
              <w14:glow w14:rad="38100">
                <w14:schemeClr w14:val="accent1">
                  <w14:alpha w14:val="60000"/>
                </w14:schemeClr>
              </w14:glow>
              <w14:numForm w14:val="lining"/>
            </w:rPr>
            <w:t xml:space="preserve">III - </w:t>
          </w:r>
          <w:r w:rsidR="00254E34" w:rsidRPr="00BB0555">
            <w:rPr>
              <w:sz w:val="28"/>
              <w:szCs w:val="28"/>
              <w14:glow w14:rad="38100">
                <w14:schemeClr w14:val="accent1">
                  <w14:alpha w14:val="60000"/>
                </w14:schemeClr>
              </w14:glow>
              <w14:numForm w14:val="lining"/>
            </w:rPr>
            <w:fldChar w:fldCharType="begin"/>
          </w:r>
          <w:r w:rsidR="00254E34" w:rsidRPr="00BB0555">
            <w:rPr>
              <w:sz w:val="28"/>
              <w:szCs w:val="28"/>
              <w14:glow w14:rad="38100">
                <w14:schemeClr w14:val="accent1">
                  <w14:alpha w14:val="60000"/>
                </w14:schemeClr>
              </w14:glow>
              <w14:numForm w14:val="lining"/>
            </w:rPr>
            <w:instrText xml:space="preserve"> PAGE   \* MERGEFORMAT </w:instrText>
          </w:r>
          <w:r w:rsidR="00254E34" w:rsidRPr="00BB0555">
            <w:rPr>
              <w:sz w:val="28"/>
              <w:szCs w:val="28"/>
              <w14:glow w14:rad="38100">
                <w14:schemeClr w14:val="accent1">
                  <w14:alpha w14:val="60000"/>
                </w14:schemeClr>
              </w14:glow>
              <w14:numForm w14:val="lining"/>
            </w:rPr>
            <w:fldChar w:fldCharType="separate"/>
          </w:r>
          <w:r w:rsidR="00532BF6" w:rsidRPr="00532BF6">
            <w:rPr>
              <w:noProof/>
              <w:color w:val="4F81BD" w:themeColor="accent1"/>
              <w:sz w:val="28"/>
              <w:szCs w:val="28"/>
              <w14:glow w14:rad="38100">
                <w14:schemeClr w14:val="accent1">
                  <w14:alpha w14:val="60000"/>
                </w14:schemeClr>
              </w14:glow>
              <w14:numForm w14:val="lining"/>
            </w:rPr>
            <w:t>19</w:t>
          </w:r>
          <w:r w:rsidR="00254E34" w:rsidRPr="00BB0555">
            <w:rPr>
              <w:noProof/>
              <w:color w:val="4F81BD" w:themeColor="accent1"/>
              <w:sz w:val="28"/>
              <w:szCs w:val="28"/>
              <w14:glow w14:rad="38100">
                <w14:schemeClr w14:val="accent1">
                  <w14:alpha w14:val="60000"/>
                </w14:schemeClr>
              </w14:glow>
              <w14:numForm w14:val="lining"/>
            </w:rPr>
            <w:fldChar w:fldCharType="end"/>
          </w:r>
        </w:p>
      </w:tc>
    </w:tr>
    <w:tr w:rsidR="00254E34" w:rsidTr="00BB0555">
      <w:trPr>
        <w:trHeight w:val="768"/>
      </w:trPr>
      <w:tc>
        <w:tcPr>
          <w:tcW w:w="960" w:type="dxa"/>
        </w:tcPr>
        <w:p w:rsidR="00254E34" w:rsidRDefault="00254E34">
          <w:pPr>
            <w:pStyle w:val="Header"/>
          </w:pPr>
        </w:p>
      </w:tc>
    </w:tr>
  </w:tbl>
  <w:p w:rsidR="00254E34" w:rsidRDefault="00254E34" w:rsidP="00BB0555">
    <w:pPr>
      <w:pStyle w:val="Footer"/>
      <w:ind w:right="-27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tbl>
    <w:tblPr>
      <w:tblpPr w:leftFromText="187" w:rightFromText="187" w:vertAnchor="page" w:horzAnchor="page" w:tblpXSpec="right" w:tblpYSpec="bottom"/>
      <w:tblW w:w="550" w:type="pct"/>
      <w:tblLook w:val="04A0" w:firstRow="1" w:lastRow="0" w:firstColumn="1" w:lastColumn="0" w:noHBand="0" w:noVBand="1"/>
    </w:tblPr>
    <w:tblGrid>
      <w:gridCol w:w="1534"/>
    </w:tblGrid>
    <w:tr w:rsidR="00254E34" w:rsidTr="00BB0555">
      <w:trPr>
        <w:trHeight w:val="10166"/>
      </w:trPr>
      <w:tc>
        <w:tcPr>
          <w:tcW w:w="960" w:type="dxa"/>
          <w:tcBorders>
            <w:bottom w:val="single" w:sz="4" w:space="0" w:color="auto"/>
          </w:tcBorders>
          <w:textDirection w:val="btLr"/>
        </w:tcPr>
        <w:p w:rsidR="00254E34" w:rsidRDefault="00254E34">
          <w:pPr>
            <w:pStyle w:val="Header"/>
            <w:ind w:left="113" w:right="113"/>
            <w:rPr>
              <w:rFonts w:ascii="Berlin Sans FB Demi" w:hAnsi="Berlin Sans FB Demi"/>
              <w:color w:val="595959" w:themeColor="text1" w:themeTint="A6"/>
              <w:sz w:val="36"/>
              <w:szCs w:val="36"/>
            </w:rPr>
          </w:pPr>
        </w:p>
        <w:p w:rsidR="00254E34" w:rsidRPr="00BB0555" w:rsidRDefault="00254E34"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254E34" w:rsidTr="00BB0555">
      <w:tc>
        <w:tcPr>
          <w:tcW w:w="960" w:type="dxa"/>
          <w:tcBorders>
            <w:top w:val="single" w:sz="4" w:space="0" w:color="auto"/>
          </w:tcBorders>
        </w:tcPr>
        <w:p w:rsidR="00254E34" w:rsidRPr="004D6632" w:rsidRDefault="00254E34">
          <w:pPr>
            <w:pStyle w:val="Footer"/>
            <w:rPr>
              <w:sz w:val="24"/>
              <w:szCs w:val="24"/>
              <w14:numForm w14:val="lining"/>
            </w:rPr>
          </w:pPr>
          <w:r w:rsidRPr="00BB0555">
            <w:rPr>
              <w:sz w:val="28"/>
              <w:szCs w:val="28"/>
              <w14:glow w14:rad="38100">
                <w14:schemeClr w14:val="accent1">
                  <w14:alpha w14:val="60000"/>
                </w14:schemeClr>
              </w14:glow>
              <w14:numForm w14:val="lining"/>
            </w:rPr>
            <w:fldChar w:fldCharType="begin"/>
          </w:r>
          <w:r w:rsidRPr="00BB0555">
            <w:rPr>
              <w:sz w:val="28"/>
              <w:szCs w:val="28"/>
              <w14:glow w14:rad="38100">
                <w14:schemeClr w14:val="accent1">
                  <w14:alpha w14:val="60000"/>
                </w14:schemeClr>
              </w14:glow>
              <w14:numForm w14:val="lining"/>
            </w:rPr>
            <w:instrText xml:space="preserve"> PAGE   \* MERGEFORMAT </w:instrText>
          </w:r>
          <w:r w:rsidRPr="00BB0555">
            <w:rPr>
              <w:sz w:val="28"/>
              <w:szCs w:val="28"/>
              <w14:glow w14:rad="38100">
                <w14:schemeClr w14:val="accent1">
                  <w14:alpha w14:val="60000"/>
                </w14:schemeClr>
              </w14:glow>
              <w14:numForm w14:val="lining"/>
            </w:rPr>
            <w:fldChar w:fldCharType="separate"/>
          </w:r>
          <w:r w:rsidR="00D6046B" w:rsidRPr="00D6046B">
            <w:rPr>
              <w:noProof/>
              <w:color w:val="4F81BD" w:themeColor="accent1"/>
              <w:sz w:val="28"/>
              <w:szCs w:val="28"/>
              <w14:glow w14:rad="38100">
                <w14:schemeClr w14:val="accent1">
                  <w14:alpha w14:val="60000"/>
                </w14:schemeClr>
              </w14:glow>
              <w14:numForm w14:val="lining"/>
            </w:rPr>
            <w:t>137</w:t>
          </w:r>
          <w:r w:rsidRPr="00BB0555">
            <w:rPr>
              <w:noProof/>
              <w:color w:val="4F81BD" w:themeColor="accent1"/>
              <w:sz w:val="28"/>
              <w:szCs w:val="28"/>
              <w14:glow w14:rad="38100">
                <w14:schemeClr w14:val="accent1">
                  <w14:alpha w14:val="60000"/>
                </w14:schemeClr>
              </w14:glow>
              <w14:numForm w14:val="lining"/>
            </w:rPr>
            <w:fldChar w:fldCharType="end"/>
          </w:r>
        </w:p>
      </w:tc>
    </w:tr>
    <w:tr w:rsidR="00254E34" w:rsidTr="00BB0555">
      <w:trPr>
        <w:trHeight w:val="768"/>
      </w:trPr>
      <w:tc>
        <w:tcPr>
          <w:tcW w:w="960" w:type="dxa"/>
        </w:tcPr>
        <w:p w:rsidR="00254E34" w:rsidRDefault="00254E34">
          <w:pPr>
            <w:pStyle w:val="Header"/>
          </w:pPr>
        </w:p>
      </w:tc>
    </w:tr>
  </w:tbl>
  <w:p w:rsidR="00254E34" w:rsidRDefault="00254E34" w:rsidP="00BB0555">
    <w:pPr>
      <w:pStyle w:val="Footer"/>
      <w:ind w:right="-2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2F05" w:rsidRDefault="00262F05" w:rsidP="00655E08">
      <w:pPr>
        <w:spacing w:after="0" w:line="240" w:lineRule="auto"/>
      </w:pPr>
      <w:r>
        <w:separator/>
      </w:r>
    </w:p>
  </w:footnote>
  <w:footnote w:type="continuationSeparator" w:id="0">
    <w:p w:rsidR="00262F05" w:rsidRDefault="00262F05" w:rsidP="00655E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rsidP="00655E08">
    <w:pPr>
      <w:pStyle w:val="Header"/>
      <w:tabs>
        <w:tab w:val="right" w:pos="8504"/>
      </w:tabs>
    </w:pPr>
    <w:r>
      <w:rPr>
        <w:noProof/>
      </w:rPr>
      <mc:AlternateContent>
        <mc:Choice Requires="wps">
          <w:drawing>
            <wp:anchor distT="0" distB="0" distL="114300" distR="114300" simplePos="0" relativeHeight="251667456" behindDoc="0" locked="0" layoutInCell="1" allowOverlap="1" wp14:anchorId="211B59F5" wp14:editId="3156D5F6">
              <wp:simplePos x="0" y="0"/>
              <wp:positionH relativeFrom="column">
                <wp:posOffset>1703515</wp:posOffset>
              </wp:positionH>
              <wp:positionV relativeFrom="paragraph">
                <wp:posOffset>17145</wp:posOffset>
              </wp:positionV>
              <wp:extent cx="511175" cy="0"/>
              <wp:effectExtent l="0" t="0" r="22225" b="19050"/>
              <wp:wrapNone/>
              <wp:docPr id="8" name="Straight Connector 8"/>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AOUMwgtgEAAMIDAAAOAAAAAAAAAAAAAAAAAC4CAABkcnMvZTJv&#10;RG9jLnhtbFBLAQItABQABgAIAAAAIQCC9OT43gAAAAcBAAAPAAAAAAAAAAAAAAAAABAEAABkcnMv&#10;ZG93bnJldi54bWxQSwUGAAAAAAQABADzAAAAGwUAAAAA&#10;" strokecolor="#4579b8 [3044]"/>
          </w:pict>
        </mc:Fallback>
      </mc:AlternateContent>
    </w:r>
    <w:r>
      <w:rPr>
        <w:noProof/>
      </w:rPr>
      <mc:AlternateContent>
        <mc:Choice Requires="wps">
          <w:drawing>
            <wp:anchor distT="0" distB="0" distL="114300" distR="114300" simplePos="0" relativeHeight="251668480" behindDoc="0" locked="0" layoutInCell="1" allowOverlap="1" wp14:anchorId="6B5AFC8E" wp14:editId="1C97CAA6">
              <wp:simplePos x="0" y="0"/>
              <wp:positionH relativeFrom="column">
                <wp:posOffset>3062143</wp:posOffset>
              </wp:positionH>
              <wp:positionV relativeFrom="paragraph">
                <wp:posOffset>5938</wp:posOffset>
              </wp:positionV>
              <wp:extent cx="510639" cy="0"/>
              <wp:effectExtent l="0" t="0" r="22860" b="19050"/>
              <wp:wrapNone/>
              <wp:docPr id="25" name="Straight Connector 25"/>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" strokecolor="#4579b8 [3044]"/>
          </w:pict>
        </mc:Fallback>
      </mc:AlternateContent>
    </w:r>
    <w:r>
      <w:rPr>
        <w:noProof/>
      </w:rPr>
      <w:drawing>
        <wp:anchor distT="0" distB="0" distL="114300" distR="114300" simplePos="0" relativeHeight="251666432" behindDoc="0" locked="0" layoutInCell="1" allowOverlap="1" wp14:anchorId="06460DE9" wp14:editId="489061AF">
          <wp:simplePos x="0" y="0"/>
          <wp:positionH relativeFrom="column">
            <wp:posOffset>2408612</wp:posOffset>
          </wp:positionH>
          <wp:positionV relativeFrom="paragraph">
            <wp:posOffset>-192405</wp:posOffset>
          </wp:positionV>
          <wp:extent cx="508553" cy="435984"/>
          <wp:effectExtent l="0" t="0" r="6350" b="2540"/>
          <wp:wrapNone/>
          <wp:docPr id="27"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54E34" w:rsidRDefault="00254E3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pPr>
      <w:pStyle w:val="Header"/>
    </w:pPr>
    <w:r>
      <w:rPr>
        <w:noProof/>
      </w:rPr>
      <w:drawing>
        <wp:anchor distT="0" distB="0" distL="114300" distR="114300" simplePos="0" relativeHeight="251669504" behindDoc="0" locked="0" layoutInCell="1" allowOverlap="1" wp14:anchorId="01F60380" wp14:editId="55F0F501">
          <wp:simplePos x="0" y="0"/>
          <wp:positionH relativeFrom="column">
            <wp:posOffset>3204100</wp:posOffset>
          </wp:positionH>
          <wp:positionV relativeFrom="paragraph">
            <wp:posOffset>-456675</wp:posOffset>
          </wp:positionV>
          <wp:extent cx="3118429" cy="2792896"/>
          <wp:effectExtent l="0" t="0" r="6350" b="7620"/>
          <wp:wrapNone/>
          <wp:docPr id="35"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3118429" cy="279289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rsidP="00655E08">
    <w:pPr>
      <w:pStyle w:val="Header"/>
      <w:tabs>
        <w:tab w:val="right" w:pos="8504"/>
      </w:tabs>
    </w:pPr>
    <w:r>
      <w:rPr>
        <w:noProof/>
      </w:rPr>
      <mc:AlternateContent>
        <mc:Choice Requires="wps">
          <w:drawing>
            <wp:anchor distT="0" distB="0" distL="114300" distR="114300" simplePos="0" relativeHeight="251660288" behindDoc="0" locked="0" layoutInCell="1" allowOverlap="1" wp14:anchorId="3DF34E2C" wp14:editId="3A0AB564">
              <wp:simplePos x="0" y="0"/>
              <wp:positionH relativeFrom="column">
                <wp:posOffset>1703515</wp:posOffset>
              </wp:positionH>
              <wp:positionV relativeFrom="paragraph">
                <wp:posOffset>17145</wp:posOffset>
              </wp:positionV>
              <wp:extent cx="511175" cy="0"/>
              <wp:effectExtent l="0" t="0" r="22225" b="19050"/>
              <wp:wrapNone/>
              <wp:docPr id="9" name="Straight Connector 9"/>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CyG0bUtgEAAMIDAAAOAAAAAAAAAAAAAAAAAC4CAABkcnMvZTJv&#10;RG9jLnhtbFBLAQItABQABgAIAAAAIQCC9OT43gAAAAcBAAAPAAAAAAAAAAAAAAAAABAEAABkcnMv&#10;ZG93bnJldi54bWxQSwUGAAAAAAQABADzAAAAGwUAAAAA&#10;" strokecolor="#4579b8 [3044]"/>
          </w:pict>
        </mc:Fallback>
      </mc:AlternateContent>
    </w:r>
    <w:r>
      <w:rPr>
        <w:noProof/>
      </w:rPr>
      <mc:AlternateContent>
        <mc:Choice Requires="wps">
          <w:drawing>
            <wp:anchor distT="0" distB="0" distL="114300" distR="114300" simplePos="0" relativeHeight="251662336" behindDoc="0" locked="0" layoutInCell="1" allowOverlap="1" wp14:anchorId="47DD9B23" wp14:editId="1B957771">
              <wp:simplePos x="0" y="0"/>
              <wp:positionH relativeFrom="column">
                <wp:posOffset>3062143</wp:posOffset>
              </wp:positionH>
              <wp:positionV relativeFrom="paragraph">
                <wp:posOffset>5938</wp:posOffset>
              </wp:positionV>
              <wp:extent cx="510639" cy="0"/>
              <wp:effectExtent l="0" t="0" r="22860" b="19050"/>
              <wp:wrapNone/>
              <wp:docPr id="10" name="Straight Connector 10"/>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" strokecolor="#4579b8 [3044]"/>
          </w:pict>
        </mc:Fallback>
      </mc:AlternateContent>
    </w:r>
    <w:r>
      <w:rPr>
        <w:noProof/>
      </w:rPr>
      <w:drawing>
        <wp:anchor distT="0" distB="0" distL="114300" distR="114300" simplePos="0" relativeHeight="251659264" behindDoc="0" locked="0" layoutInCell="1" allowOverlap="1" wp14:anchorId="5013E8D7" wp14:editId="26D86230">
          <wp:simplePos x="0" y="0"/>
          <wp:positionH relativeFrom="column">
            <wp:posOffset>2408612</wp:posOffset>
          </wp:positionH>
          <wp:positionV relativeFrom="paragraph">
            <wp:posOffset>-192405</wp:posOffset>
          </wp:positionV>
          <wp:extent cx="508553" cy="435984"/>
          <wp:effectExtent l="0" t="0" r="6350" b="2540"/>
          <wp:wrapNone/>
          <wp:docPr id="23"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54E34" w:rsidRDefault="00254E3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E34" w:rsidRDefault="00254E34">
    <w:pPr>
      <w:pStyle w:val="Header"/>
    </w:pPr>
    <w:r>
      <w:rPr>
        <w:noProof/>
      </w:rPr>
      <w:drawing>
        <wp:anchor distT="0" distB="0" distL="114300" distR="114300" simplePos="0" relativeHeight="251664384" behindDoc="0" locked="0" layoutInCell="1" allowOverlap="1" wp14:anchorId="563B9C5C" wp14:editId="47EA55DB">
          <wp:simplePos x="0" y="0"/>
          <wp:positionH relativeFrom="column">
            <wp:posOffset>3661121</wp:posOffset>
          </wp:positionH>
          <wp:positionV relativeFrom="paragraph">
            <wp:posOffset>-419735</wp:posOffset>
          </wp:positionV>
          <wp:extent cx="2641600" cy="2365843"/>
          <wp:effectExtent l="0" t="0" r="6350" b="0"/>
          <wp:wrapNone/>
          <wp:docPr id="24"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2641600" cy="236584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E26DBFC"/>
    <w:lvl w:ilvl="0">
      <w:start w:val="1"/>
      <w:numFmt w:val="decimal"/>
      <w:pStyle w:val="ListNumber"/>
      <w:lvlText w:val="%1."/>
      <w:lvlJc w:val="left"/>
      <w:pPr>
        <w:tabs>
          <w:tab w:val="num" w:pos="360"/>
        </w:tabs>
        <w:ind w:left="360" w:hanging="360"/>
      </w:pPr>
    </w:lvl>
  </w:abstractNum>
  <w:abstractNum w:abstractNumId="1">
    <w:nsid w:val="126A267D"/>
    <w:multiLevelType w:val="singleLevel"/>
    <w:tmpl w:val="7F4E6FBC"/>
    <w:lvl w:ilvl="0">
      <w:start w:val="1"/>
      <w:numFmt w:val="lowerLetter"/>
      <w:pStyle w:val="pointerhuruf1"/>
      <w:lvlText w:val="%1. "/>
      <w:legacy w:legacy="1" w:legacySpace="0" w:legacyIndent="360"/>
      <w:lvlJc w:val="left"/>
      <w:pPr>
        <w:ind w:left="360" w:hanging="360"/>
      </w:pPr>
      <w:rPr>
        <w:sz w:val="28"/>
      </w:rPr>
    </w:lvl>
  </w:abstractNum>
  <w:abstractNum w:abstractNumId="2">
    <w:nsid w:val="17380041"/>
    <w:multiLevelType w:val="hybridMultilevel"/>
    <w:tmpl w:val="E7D2E7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912F07"/>
    <w:multiLevelType w:val="hybridMultilevel"/>
    <w:tmpl w:val="A724899C"/>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860792A"/>
    <w:multiLevelType w:val="hybridMultilevel"/>
    <w:tmpl w:val="2A882096"/>
    <w:lvl w:ilvl="0" w:tplc="0409000D">
      <w:start w:val="1"/>
      <w:numFmt w:val="bullet"/>
      <w:lvlText w:val=""/>
      <w:lvlJc w:val="left"/>
      <w:pPr>
        <w:ind w:left="720" w:hanging="360"/>
      </w:pPr>
      <w:rPr>
        <w:rFonts w:ascii="Wingdings" w:hAnsi="Wingding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C744FC6"/>
    <w:multiLevelType w:val="multilevel"/>
    <w:tmpl w:val="6FD4872E"/>
    <w:lvl w:ilvl="0">
      <w:start w:val="3"/>
      <w:numFmt w:val="decimal"/>
      <w:lvlText w:val="%1"/>
      <w:lvlJc w:val="left"/>
      <w:pPr>
        <w:ind w:left="825" w:hanging="825"/>
      </w:pPr>
      <w:rPr>
        <w:rFonts w:hint="default"/>
      </w:rPr>
    </w:lvl>
    <w:lvl w:ilvl="1">
      <w:start w:val="1"/>
      <w:numFmt w:val="decimal"/>
      <w:lvlText w:val="%1.%2"/>
      <w:lvlJc w:val="left"/>
      <w:pPr>
        <w:ind w:left="825" w:hanging="825"/>
      </w:pPr>
      <w:rPr>
        <w:rFonts w:hint="default"/>
      </w:rPr>
    </w:lvl>
    <w:lvl w:ilvl="2">
      <w:start w:val="2"/>
      <w:numFmt w:val="decimal"/>
      <w:lvlText w:val="%1.%2.%3"/>
      <w:lvlJc w:val="left"/>
      <w:pPr>
        <w:ind w:left="825" w:hanging="82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54E63188"/>
    <w:multiLevelType w:val="hybridMultilevel"/>
    <w:tmpl w:val="0E08A72A"/>
    <w:lvl w:ilvl="0" w:tplc="3D24E2F2">
      <w:start w:val="3"/>
      <w:numFmt w:val="decimal"/>
      <w:lvlText w:val="%1."/>
      <w:lvlJc w:val="left"/>
      <w:pPr>
        <w:ind w:left="720" w:hanging="360"/>
      </w:pPr>
      <w:rPr>
        <w:rFonts w:cs="Helvetica-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F37F54"/>
    <w:multiLevelType w:val="hybridMultilevel"/>
    <w:tmpl w:val="CDCE0476"/>
    <w:lvl w:ilvl="0" w:tplc="92287846">
      <w:start w:val="1"/>
      <w:numFmt w:val="decimal"/>
      <w:lvlText w:val="%1."/>
      <w:lvlJc w:val="left"/>
      <w:pPr>
        <w:tabs>
          <w:tab w:val="num" w:pos="810"/>
        </w:tabs>
        <w:ind w:left="810" w:hanging="450"/>
      </w:pPr>
      <w:rPr>
        <w:rFonts w:hint="default"/>
      </w:rPr>
    </w:lvl>
    <w:lvl w:ilvl="1" w:tplc="A42A8D72">
      <w:numFmt w:val="none"/>
      <w:lvlText w:val=""/>
      <w:lvlJc w:val="left"/>
      <w:pPr>
        <w:tabs>
          <w:tab w:val="num" w:pos="360"/>
        </w:tabs>
      </w:pPr>
    </w:lvl>
    <w:lvl w:ilvl="2" w:tplc="D0CE2B02">
      <w:numFmt w:val="none"/>
      <w:lvlText w:val=""/>
      <w:lvlJc w:val="left"/>
      <w:pPr>
        <w:tabs>
          <w:tab w:val="num" w:pos="360"/>
        </w:tabs>
      </w:pPr>
    </w:lvl>
    <w:lvl w:ilvl="3" w:tplc="48624C38">
      <w:numFmt w:val="none"/>
      <w:lvlText w:val=""/>
      <w:lvlJc w:val="left"/>
      <w:pPr>
        <w:tabs>
          <w:tab w:val="num" w:pos="360"/>
        </w:tabs>
      </w:pPr>
    </w:lvl>
    <w:lvl w:ilvl="4" w:tplc="56A20F48">
      <w:numFmt w:val="none"/>
      <w:lvlText w:val=""/>
      <w:lvlJc w:val="left"/>
      <w:pPr>
        <w:tabs>
          <w:tab w:val="num" w:pos="360"/>
        </w:tabs>
      </w:pPr>
    </w:lvl>
    <w:lvl w:ilvl="5" w:tplc="8F44A3C8">
      <w:numFmt w:val="none"/>
      <w:lvlText w:val=""/>
      <w:lvlJc w:val="left"/>
      <w:pPr>
        <w:tabs>
          <w:tab w:val="num" w:pos="360"/>
        </w:tabs>
      </w:pPr>
    </w:lvl>
    <w:lvl w:ilvl="6" w:tplc="9FB68ABE">
      <w:numFmt w:val="none"/>
      <w:lvlText w:val=""/>
      <w:lvlJc w:val="left"/>
      <w:pPr>
        <w:tabs>
          <w:tab w:val="num" w:pos="360"/>
        </w:tabs>
      </w:pPr>
    </w:lvl>
    <w:lvl w:ilvl="7" w:tplc="092C6220">
      <w:numFmt w:val="none"/>
      <w:lvlText w:val=""/>
      <w:lvlJc w:val="left"/>
      <w:pPr>
        <w:tabs>
          <w:tab w:val="num" w:pos="360"/>
        </w:tabs>
      </w:pPr>
    </w:lvl>
    <w:lvl w:ilvl="8" w:tplc="C57CC7D6">
      <w:numFmt w:val="none"/>
      <w:lvlText w:val=""/>
      <w:lvlJc w:val="left"/>
      <w:pPr>
        <w:tabs>
          <w:tab w:val="num" w:pos="360"/>
        </w:tabs>
      </w:pPr>
    </w:lvl>
  </w:abstractNum>
  <w:num w:numId="1">
    <w:abstractNumId w:val="0"/>
  </w:num>
  <w:num w:numId="2">
    <w:abstractNumId w:val="1"/>
  </w:num>
  <w:num w:numId="3">
    <w:abstractNumId w:val="5"/>
  </w:num>
  <w:num w:numId="4">
    <w:abstractNumId w:val="7"/>
  </w:num>
  <w:num w:numId="5">
    <w:abstractNumId w:val="2"/>
  </w:num>
  <w:num w:numId="6">
    <w:abstractNumId w:val="6"/>
  </w:num>
  <w:num w:numId="7">
    <w:abstractNumId w:val="3"/>
  </w:num>
  <w:num w:numId="8">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hideGrammaticalErrors/>
  <w:proofState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4F2"/>
    <w:rsid w:val="00000FB7"/>
    <w:rsid w:val="00001BCF"/>
    <w:rsid w:val="00002F4D"/>
    <w:rsid w:val="0000792E"/>
    <w:rsid w:val="0000797B"/>
    <w:rsid w:val="00010D65"/>
    <w:rsid w:val="00015B00"/>
    <w:rsid w:val="00016A85"/>
    <w:rsid w:val="000319E3"/>
    <w:rsid w:val="00033EC4"/>
    <w:rsid w:val="00035214"/>
    <w:rsid w:val="000354F3"/>
    <w:rsid w:val="0003772C"/>
    <w:rsid w:val="0004235A"/>
    <w:rsid w:val="00042A79"/>
    <w:rsid w:val="000455DF"/>
    <w:rsid w:val="00045C07"/>
    <w:rsid w:val="00054FFD"/>
    <w:rsid w:val="00055A05"/>
    <w:rsid w:val="000560A8"/>
    <w:rsid w:val="00060E4F"/>
    <w:rsid w:val="00062E64"/>
    <w:rsid w:val="00095C16"/>
    <w:rsid w:val="000A235B"/>
    <w:rsid w:val="000B221E"/>
    <w:rsid w:val="000B3492"/>
    <w:rsid w:val="000C3FD9"/>
    <w:rsid w:val="000C667E"/>
    <w:rsid w:val="000D7559"/>
    <w:rsid w:val="000E22AB"/>
    <w:rsid w:val="000F152A"/>
    <w:rsid w:val="000F63BD"/>
    <w:rsid w:val="000F789E"/>
    <w:rsid w:val="001017B2"/>
    <w:rsid w:val="0011231A"/>
    <w:rsid w:val="0011667B"/>
    <w:rsid w:val="00124BC3"/>
    <w:rsid w:val="00130744"/>
    <w:rsid w:val="00133FD7"/>
    <w:rsid w:val="00137450"/>
    <w:rsid w:val="001464F2"/>
    <w:rsid w:val="00151A5A"/>
    <w:rsid w:val="00153B65"/>
    <w:rsid w:val="00162626"/>
    <w:rsid w:val="00165F43"/>
    <w:rsid w:val="001802EE"/>
    <w:rsid w:val="00191C34"/>
    <w:rsid w:val="001929A0"/>
    <w:rsid w:val="001930ED"/>
    <w:rsid w:val="00195EFF"/>
    <w:rsid w:val="00197B5C"/>
    <w:rsid w:val="001A334B"/>
    <w:rsid w:val="001A7108"/>
    <w:rsid w:val="001B2575"/>
    <w:rsid w:val="001B6A82"/>
    <w:rsid w:val="001C0E2F"/>
    <w:rsid w:val="001C283E"/>
    <w:rsid w:val="001E000E"/>
    <w:rsid w:val="001E7FA1"/>
    <w:rsid w:val="001F4A0F"/>
    <w:rsid w:val="001F6140"/>
    <w:rsid w:val="001F72A3"/>
    <w:rsid w:val="00202B0B"/>
    <w:rsid w:val="00202F74"/>
    <w:rsid w:val="00206880"/>
    <w:rsid w:val="00207BD9"/>
    <w:rsid w:val="00212BED"/>
    <w:rsid w:val="002146BF"/>
    <w:rsid w:val="00236AB8"/>
    <w:rsid w:val="00242636"/>
    <w:rsid w:val="00253916"/>
    <w:rsid w:val="00254517"/>
    <w:rsid w:val="00254E34"/>
    <w:rsid w:val="002558C7"/>
    <w:rsid w:val="00262F05"/>
    <w:rsid w:val="00263863"/>
    <w:rsid w:val="00275CA7"/>
    <w:rsid w:val="00281F68"/>
    <w:rsid w:val="0028341E"/>
    <w:rsid w:val="0028407D"/>
    <w:rsid w:val="00286442"/>
    <w:rsid w:val="0029235A"/>
    <w:rsid w:val="002933F0"/>
    <w:rsid w:val="002961B3"/>
    <w:rsid w:val="00296EAB"/>
    <w:rsid w:val="002A2305"/>
    <w:rsid w:val="002B0CA9"/>
    <w:rsid w:val="002B1EBF"/>
    <w:rsid w:val="002C22A9"/>
    <w:rsid w:val="002C3FF2"/>
    <w:rsid w:val="002D0A06"/>
    <w:rsid w:val="002D3A4C"/>
    <w:rsid w:val="002E1365"/>
    <w:rsid w:val="002E7DCD"/>
    <w:rsid w:val="002F4A18"/>
    <w:rsid w:val="00311692"/>
    <w:rsid w:val="0031190B"/>
    <w:rsid w:val="00317F72"/>
    <w:rsid w:val="00330579"/>
    <w:rsid w:val="00332309"/>
    <w:rsid w:val="003367AC"/>
    <w:rsid w:val="00350C2B"/>
    <w:rsid w:val="00350D59"/>
    <w:rsid w:val="00354D4A"/>
    <w:rsid w:val="003553A3"/>
    <w:rsid w:val="003647D0"/>
    <w:rsid w:val="00374EC3"/>
    <w:rsid w:val="00375633"/>
    <w:rsid w:val="00381880"/>
    <w:rsid w:val="00387A9D"/>
    <w:rsid w:val="00390202"/>
    <w:rsid w:val="0039690C"/>
    <w:rsid w:val="0039735E"/>
    <w:rsid w:val="003B13DB"/>
    <w:rsid w:val="003B46CF"/>
    <w:rsid w:val="003B7ADD"/>
    <w:rsid w:val="003C18D1"/>
    <w:rsid w:val="003C4A35"/>
    <w:rsid w:val="003C579D"/>
    <w:rsid w:val="003C7CEC"/>
    <w:rsid w:val="003D08B5"/>
    <w:rsid w:val="003E0307"/>
    <w:rsid w:val="003E0EE5"/>
    <w:rsid w:val="003E5E5E"/>
    <w:rsid w:val="003E6149"/>
    <w:rsid w:val="003F7078"/>
    <w:rsid w:val="00406323"/>
    <w:rsid w:val="004068BA"/>
    <w:rsid w:val="004130A5"/>
    <w:rsid w:val="00414411"/>
    <w:rsid w:val="00415452"/>
    <w:rsid w:val="004224D3"/>
    <w:rsid w:val="004248C4"/>
    <w:rsid w:val="00424A43"/>
    <w:rsid w:val="00436AEE"/>
    <w:rsid w:val="00436E0F"/>
    <w:rsid w:val="0046020D"/>
    <w:rsid w:val="004612CF"/>
    <w:rsid w:val="0046522A"/>
    <w:rsid w:val="0047051D"/>
    <w:rsid w:val="00473770"/>
    <w:rsid w:val="004902F4"/>
    <w:rsid w:val="0049713B"/>
    <w:rsid w:val="004B1945"/>
    <w:rsid w:val="004B2E58"/>
    <w:rsid w:val="004B4FEC"/>
    <w:rsid w:val="004C6406"/>
    <w:rsid w:val="004D36D5"/>
    <w:rsid w:val="004D6632"/>
    <w:rsid w:val="004D7CCD"/>
    <w:rsid w:val="00502EEE"/>
    <w:rsid w:val="005069C7"/>
    <w:rsid w:val="00507556"/>
    <w:rsid w:val="00517447"/>
    <w:rsid w:val="00527315"/>
    <w:rsid w:val="00532BF6"/>
    <w:rsid w:val="0053616C"/>
    <w:rsid w:val="00536366"/>
    <w:rsid w:val="00540B4D"/>
    <w:rsid w:val="00541FE4"/>
    <w:rsid w:val="00543804"/>
    <w:rsid w:val="005474C6"/>
    <w:rsid w:val="00566AD1"/>
    <w:rsid w:val="00570C0F"/>
    <w:rsid w:val="00572B1E"/>
    <w:rsid w:val="00582510"/>
    <w:rsid w:val="005932C4"/>
    <w:rsid w:val="00594CB8"/>
    <w:rsid w:val="005B2CD0"/>
    <w:rsid w:val="005D00B7"/>
    <w:rsid w:val="005D4864"/>
    <w:rsid w:val="005D4AE6"/>
    <w:rsid w:val="005D6590"/>
    <w:rsid w:val="005E01C4"/>
    <w:rsid w:val="005E2A07"/>
    <w:rsid w:val="005E3D45"/>
    <w:rsid w:val="005F74FB"/>
    <w:rsid w:val="0060046B"/>
    <w:rsid w:val="00601188"/>
    <w:rsid w:val="006132EF"/>
    <w:rsid w:val="0063017E"/>
    <w:rsid w:val="00647939"/>
    <w:rsid w:val="00652E34"/>
    <w:rsid w:val="006550EE"/>
    <w:rsid w:val="00655E08"/>
    <w:rsid w:val="006736B7"/>
    <w:rsid w:val="006817BB"/>
    <w:rsid w:val="00682A0E"/>
    <w:rsid w:val="006C000B"/>
    <w:rsid w:val="006C446B"/>
    <w:rsid w:val="006C51C7"/>
    <w:rsid w:val="006C7BBA"/>
    <w:rsid w:val="006D4C3F"/>
    <w:rsid w:val="006D6284"/>
    <w:rsid w:val="006E2460"/>
    <w:rsid w:val="006E3EB7"/>
    <w:rsid w:val="006E4E19"/>
    <w:rsid w:val="006F1FF1"/>
    <w:rsid w:val="006F71B4"/>
    <w:rsid w:val="00712307"/>
    <w:rsid w:val="00721CBC"/>
    <w:rsid w:val="00721EB3"/>
    <w:rsid w:val="0072330E"/>
    <w:rsid w:val="00730D8C"/>
    <w:rsid w:val="00731C22"/>
    <w:rsid w:val="007352DF"/>
    <w:rsid w:val="00736464"/>
    <w:rsid w:val="00737250"/>
    <w:rsid w:val="00737C4C"/>
    <w:rsid w:val="00737D29"/>
    <w:rsid w:val="00753F58"/>
    <w:rsid w:val="00760C7A"/>
    <w:rsid w:val="007653D4"/>
    <w:rsid w:val="007666E1"/>
    <w:rsid w:val="00767E0E"/>
    <w:rsid w:val="007816F0"/>
    <w:rsid w:val="00782340"/>
    <w:rsid w:val="00790CB0"/>
    <w:rsid w:val="007A36CC"/>
    <w:rsid w:val="007B71A4"/>
    <w:rsid w:val="007C0704"/>
    <w:rsid w:val="007C6B91"/>
    <w:rsid w:val="007D2DDC"/>
    <w:rsid w:val="007D3295"/>
    <w:rsid w:val="007D5FC7"/>
    <w:rsid w:val="007E7FF9"/>
    <w:rsid w:val="008018B8"/>
    <w:rsid w:val="00802576"/>
    <w:rsid w:val="008048C2"/>
    <w:rsid w:val="00816A62"/>
    <w:rsid w:val="00817F1B"/>
    <w:rsid w:val="00820382"/>
    <w:rsid w:val="00824326"/>
    <w:rsid w:val="00833E90"/>
    <w:rsid w:val="00841DF2"/>
    <w:rsid w:val="008422E6"/>
    <w:rsid w:val="008430D1"/>
    <w:rsid w:val="00843BAB"/>
    <w:rsid w:val="008446D6"/>
    <w:rsid w:val="0084597E"/>
    <w:rsid w:val="00855AFA"/>
    <w:rsid w:val="00856467"/>
    <w:rsid w:val="00861860"/>
    <w:rsid w:val="00863746"/>
    <w:rsid w:val="00881AFD"/>
    <w:rsid w:val="0089382D"/>
    <w:rsid w:val="008A11EC"/>
    <w:rsid w:val="008A5EE8"/>
    <w:rsid w:val="008B0C3D"/>
    <w:rsid w:val="008B6CEC"/>
    <w:rsid w:val="008C33BA"/>
    <w:rsid w:val="008C4B3D"/>
    <w:rsid w:val="008C52E1"/>
    <w:rsid w:val="008C6153"/>
    <w:rsid w:val="008C7B62"/>
    <w:rsid w:val="008D4D52"/>
    <w:rsid w:val="008E3264"/>
    <w:rsid w:val="008E4B1B"/>
    <w:rsid w:val="008F23B6"/>
    <w:rsid w:val="009008EA"/>
    <w:rsid w:val="00912A2F"/>
    <w:rsid w:val="00913C64"/>
    <w:rsid w:val="00922064"/>
    <w:rsid w:val="00930B21"/>
    <w:rsid w:val="0093326E"/>
    <w:rsid w:val="00933690"/>
    <w:rsid w:val="009426F0"/>
    <w:rsid w:val="00947B73"/>
    <w:rsid w:val="00977270"/>
    <w:rsid w:val="0098077C"/>
    <w:rsid w:val="00985901"/>
    <w:rsid w:val="00991FF5"/>
    <w:rsid w:val="00993625"/>
    <w:rsid w:val="0099799B"/>
    <w:rsid w:val="009A7E4F"/>
    <w:rsid w:val="009B16D6"/>
    <w:rsid w:val="009B48AC"/>
    <w:rsid w:val="009B689E"/>
    <w:rsid w:val="009D2F2B"/>
    <w:rsid w:val="009F3E99"/>
    <w:rsid w:val="009F5338"/>
    <w:rsid w:val="00A07BEA"/>
    <w:rsid w:val="00A161C2"/>
    <w:rsid w:val="00A22CEC"/>
    <w:rsid w:val="00A249BD"/>
    <w:rsid w:val="00A35682"/>
    <w:rsid w:val="00A35F4E"/>
    <w:rsid w:val="00A36882"/>
    <w:rsid w:val="00A500D9"/>
    <w:rsid w:val="00A55CC5"/>
    <w:rsid w:val="00A63144"/>
    <w:rsid w:val="00A7036E"/>
    <w:rsid w:val="00A734B3"/>
    <w:rsid w:val="00A74A5B"/>
    <w:rsid w:val="00A837AC"/>
    <w:rsid w:val="00A8385F"/>
    <w:rsid w:val="00A83C5E"/>
    <w:rsid w:val="00A9223B"/>
    <w:rsid w:val="00A9367B"/>
    <w:rsid w:val="00AA79C2"/>
    <w:rsid w:val="00AB16CE"/>
    <w:rsid w:val="00AB78CE"/>
    <w:rsid w:val="00AC32B9"/>
    <w:rsid w:val="00AC457C"/>
    <w:rsid w:val="00AD407A"/>
    <w:rsid w:val="00AD5C8A"/>
    <w:rsid w:val="00AD6C1E"/>
    <w:rsid w:val="00AE6267"/>
    <w:rsid w:val="00AE6F46"/>
    <w:rsid w:val="00AE7A00"/>
    <w:rsid w:val="00AF0BE0"/>
    <w:rsid w:val="00AF19FB"/>
    <w:rsid w:val="00AF2A1C"/>
    <w:rsid w:val="00B114CE"/>
    <w:rsid w:val="00B11A6B"/>
    <w:rsid w:val="00B14A9C"/>
    <w:rsid w:val="00B158D5"/>
    <w:rsid w:val="00B20523"/>
    <w:rsid w:val="00B20B71"/>
    <w:rsid w:val="00B32F05"/>
    <w:rsid w:val="00B42D8E"/>
    <w:rsid w:val="00B43B13"/>
    <w:rsid w:val="00B4678D"/>
    <w:rsid w:val="00B47443"/>
    <w:rsid w:val="00B5440E"/>
    <w:rsid w:val="00B55FDA"/>
    <w:rsid w:val="00B56DDE"/>
    <w:rsid w:val="00B611FE"/>
    <w:rsid w:val="00B66BEA"/>
    <w:rsid w:val="00B74070"/>
    <w:rsid w:val="00B776AC"/>
    <w:rsid w:val="00B77749"/>
    <w:rsid w:val="00B77DF7"/>
    <w:rsid w:val="00B77DFA"/>
    <w:rsid w:val="00B93147"/>
    <w:rsid w:val="00B9355D"/>
    <w:rsid w:val="00BB0555"/>
    <w:rsid w:val="00BB4B0A"/>
    <w:rsid w:val="00BB65CA"/>
    <w:rsid w:val="00BC4417"/>
    <w:rsid w:val="00BC47C1"/>
    <w:rsid w:val="00BD24F5"/>
    <w:rsid w:val="00BD2582"/>
    <w:rsid w:val="00BD44CB"/>
    <w:rsid w:val="00BD7752"/>
    <w:rsid w:val="00BF3E7A"/>
    <w:rsid w:val="00C0667C"/>
    <w:rsid w:val="00C076CD"/>
    <w:rsid w:val="00C15A21"/>
    <w:rsid w:val="00C17143"/>
    <w:rsid w:val="00C315CB"/>
    <w:rsid w:val="00C40CC8"/>
    <w:rsid w:val="00C413B3"/>
    <w:rsid w:val="00C47EE0"/>
    <w:rsid w:val="00C5059E"/>
    <w:rsid w:val="00C5323E"/>
    <w:rsid w:val="00C616AF"/>
    <w:rsid w:val="00C631C2"/>
    <w:rsid w:val="00C64211"/>
    <w:rsid w:val="00C658F6"/>
    <w:rsid w:val="00C711DF"/>
    <w:rsid w:val="00C726C9"/>
    <w:rsid w:val="00C83488"/>
    <w:rsid w:val="00CA0813"/>
    <w:rsid w:val="00CA3B5D"/>
    <w:rsid w:val="00CA671D"/>
    <w:rsid w:val="00CB0B4E"/>
    <w:rsid w:val="00CB4921"/>
    <w:rsid w:val="00CC35DD"/>
    <w:rsid w:val="00CD60E3"/>
    <w:rsid w:val="00CE0C67"/>
    <w:rsid w:val="00CF3E4D"/>
    <w:rsid w:val="00CF4814"/>
    <w:rsid w:val="00D00431"/>
    <w:rsid w:val="00D01185"/>
    <w:rsid w:val="00D056BA"/>
    <w:rsid w:val="00D13CC8"/>
    <w:rsid w:val="00D4189E"/>
    <w:rsid w:val="00D4211E"/>
    <w:rsid w:val="00D4495E"/>
    <w:rsid w:val="00D4579A"/>
    <w:rsid w:val="00D45E7D"/>
    <w:rsid w:val="00D47AA9"/>
    <w:rsid w:val="00D56AD3"/>
    <w:rsid w:val="00D57F26"/>
    <w:rsid w:val="00D6046B"/>
    <w:rsid w:val="00D6163C"/>
    <w:rsid w:val="00D62E1C"/>
    <w:rsid w:val="00D63D25"/>
    <w:rsid w:val="00D717FB"/>
    <w:rsid w:val="00D76D06"/>
    <w:rsid w:val="00D97238"/>
    <w:rsid w:val="00D97A31"/>
    <w:rsid w:val="00DA23C1"/>
    <w:rsid w:val="00DA3550"/>
    <w:rsid w:val="00DB20AE"/>
    <w:rsid w:val="00DB5C1B"/>
    <w:rsid w:val="00DC07E0"/>
    <w:rsid w:val="00DC1038"/>
    <w:rsid w:val="00DC1B20"/>
    <w:rsid w:val="00DC7BDA"/>
    <w:rsid w:val="00DD59C2"/>
    <w:rsid w:val="00E00616"/>
    <w:rsid w:val="00E14C8F"/>
    <w:rsid w:val="00E1763E"/>
    <w:rsid w:val="00E2406D"/>
    <w:rsid w:val="00E25CB9"/>
    <w:rsid w:val="00E25F09"/>
    <w:rsid w:val="00E2730E"/>
    <w:rsid w:val="00E27BC9"/>
    <w:rsid w:val="00E30C57"/>
    <w:rsid w:val="00E378AC"/>
    <w:rsid w:val="00E415E3"/>
    <w:rsid w:val="00E424B6"/>
    <w:rsid w:val="00E45AAC"/>
    <w:rsid w:val="00E50F81"/>
    <w:rsid w:val="00E566DC"/>
    <w:rsid w:val="00E63B5C"/>
    <w:rsid w:val="00E65B46"/>
    <w:rsid w:val="00E75312"/>
    <w:rsid w:val="00E77A67"/>
    <w:rsid w:val="00E81517"/>
    <w:rsid w:val="00E851C5"/>
    <w:rsid w:val="00E92C81"/>
    <w:rsid w:val="00E94224"/>
    <w:rsid w:val="00EA0C65"/>
    <w:rsid w:val="00EA4A62"/>
    <w:rsid w:val="00EB0985"/>
    <w:rsid w:val="00EB09FC"/>
    <w:rsid w:val="00EB5CCB"/>
    <w:rsid w:val="00EC2267"/>
    <w:rsid w:val="00EC4836"/>
    <w:rsid w:val="00EC537C"/>
    <w:rsid w:val="00ED1115"/>
    <w:rsid w:val="00ED1E16"/>
    <w:rsid w:val="00ED6D95"/>
    <w:rsid w:val="00EE50B0"/>
    <w:rsid w:val="00EF3167"/>
    <w:rsid w:val="00EF6049"/>
    <w:rsid w:val="00EF6943"/>
    <w:rsid w:val="00F04AC0"/>
    <w:rsid w:val="00F04C4B"/>
    <w:rsid w:val="00F05818"/>
    <w:rsid w:val="00F218DE"/>
    <w:rsid w:val="00F21F45"/>
    <w:rsid w:val="00F24F09"/>
    <w:rsid w:val="00F26134"/>
    <w:rsid w:val="00F40FAB"/>
    <w:rsid w:val="00F46967"/>
    <w:rsid w:val="00F52BE5"/>
    <w:rsid w:val="00F5363B"/>
    <w:rsid w:val="00F5444E"/>
    <w:rsid w:val="00F622D8"/>
    <w:rsid w:val="00F71B0C"/>
    <w:rsid w:val="00F72ED1"/>
    <w:rsid w:val="00F760D8"/>
    <w:rsid w:val="00F76AED"/>
    <w:rsid w:val="00F76CE2"/>
    <w:rsid w:val="00F8160D"/>
    <w:rsid w:val="00F82225"/>
    <w:rsid w:val="00F87F8E"/>
    <w:rsid w:val="00F9316B"/>
    <w:rsid w:val="00F94788"/>
    <w:rsid w:val="00FA28B1"/>
    <w:rsid w:val="00FA33DB"/>
    <w:rsid w:val="00FA4EE2"/>
    <w:rsid w:val="00FB1A3A"/>
    <w:rsid w:val="00FC09EB"/>
    <w:rsid w:val="00FC0B07"/>
    <w:rsid w:val="00FC3E75"/>
    <w:rsid w:val="00FC5DA7"/>
    <w:rsid w:val="00FD424E"/>
    <w:rsid w:val="00FF1D55"/>
    <w:rsid w:val="00FF203F"/>
    <w:rsid w:val="00FF40DD"/>
    <w:rsid w:val="00FF450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BB0555"/>
    <w:rPr>
      <w:rFonts w:ascii="Tahoma" w:hAnsi="Tahoma" w:cs="Tahoma"/>
      <w:sz w:val="16"/>
      <w:szCs w:val="16"/>
    </w:rPr>
  </w:style>
  <w:style w:type="paragraph" w:styleId="NormalWeb">
    <w:name w:val="Normal (Web)"/>
    <w:basedOn w:val="Normal"/>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uiPriority w:val="9"/>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uiPriority w:val="99"/>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uiPriority w:val="99"/>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uiPriority w:val="99"/>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99"/>
    <w:rsid w:val="005F74FB"/>
    <w:rPr>
      <w:rFonts w:ascii="Arial" w:eastAsia="Arial Unicode MS" w:hAnsi="Arial" w:cs="Arial"/>
      <w:sz w:val="24"/>
      <w:szCs w:val="20"/>
      <w:lang w:val="id-ID"/>
    </w:rPr>
  </w:style>
  <w:style w:type="character" w:customStyle="1" w:styleId="ListParagraphChar">
    <w:name w:val="List Paragraph Char"/>
    <w:basedOn w:val="DefaultParagraphFont"/>
    <w:link w:val="ListParagraph"/>
    <w:uiPriority w:val="34"/>
    <w:locked/>
    <w:rsid w:val="003647D0"/>
    <w:rPr>
      <w:rFonts w:ascii="Times New Roman" w:eastAsia="Times New Roman" w:hAnsi="Times New Roman" w:cs="Times New Roman"/>
      <w:sz w:val="24"/>
      <w:szCs w:val="24"/>
    </w:rPr>
  </w:style>
  <w:style w:type="table" w:styleId="LightShading-Accent5">
    <w:name w:val="Light Shading Accent 5"/>
    <w:basedOn w:val="TableNormal"/>
    <w:uiPriority w:val="60"/>
    <w:rsid w:val="00922064"/>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Grid3-Accent1">
    <w:name w:val="Medium Grid 3 Accent 1"/>
    <w:basedOn w:val="TableNormal"/>
    <w:uiPriority w:val="69"/>
    <w:rsid w:val="009220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2-Accent5">
    <w:name w:val="Medium Grid 2 Accent 5"/>
    <w:basedOn w:val="TableNormal"/>
    <w:uiPriority w:val="68"/>
    <w:rsid w:val="00FC09E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3-Accent5">
    <w:name w:val="Medium Grid 3 Accent 5"/>
    <w:basedOn w:val="TableNormal"/>
    <w:uiPriority w:val="69"/>
    <w:rsid w:val="00FC09E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fullpost">
    <w:name w:val="fullpost"/>
    <w:basedOn w:val="DefaultParagraphFont"/>
    <w:rsid w:val="00AD5C8A"/>
  </w:style>
  <w:style w:type="character" w:customStyle="1" w:styleId="DocumentMapChar1">
    <w:name w:val="Document Map Char1"/>
    <w:uiPriority w:val="99"/>
    <w:semiHidden/>
    <w:rsid w:val="00AD5C8A"/>
    <w:rPr>
      <w:rFonts w:ascii="Tahoma" w:hAnsi="Tahoma" w:cs="Tahoma"/>
      <w:sz w:val="16"/>
      <w:szCs w:val="16"/>
      <w:lang w:val="en-US" w:eastAsia="en-US"/>
    </w:rPr>
  </w:style>
  <w:style w:type="character" w:customStyle="1" w:styleId="FootnoteTextChar1">
    <w:name w:val="Footnote Text Char1"/>
    <w:uiPriority w:val="99"/>
    <w:semiHidden/>
    <w:rsid w:val="00AD5C8A"/>
    <w:rPr>
      <w:lang w:val="en-US" w:eastAsia="en-US"/>
    </w:rPr>
  </w:style>
  <w:style w:type="table" w:styleId="LightShading-Accent3">
    <w:name w:val="Light Shading Accent 3"/>
    <w:basedOn w:val="TableNormal"/>
    <w:uiPriority w:val="60"/>
    <w:rsid w:val="00AD5C8A"/>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List1-Accent3">
    <w:name w:val="Medium List 1 Accent 3"/>
    <w:basedOn w:val="TableNormal"/>
    <w:uiPriority w:val="65"/>
    <w:rsid w:val="00AD5C8A"/>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LightShading-Accent11">
    <w:name w:val="Light Shading - Accent 11"/>
    <w:basedOn w:val="TableNormal"/>
    <w:uiPriority w:val="60"/>
    <w:rsid w:val="00AD5C8A"/>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style-span">
    <w:name w:val="apple-style-span"/>
    <w:basedOn w:val="DefaultParagraphFont"/>
    <w:rsid w:val="00AD5C8A"/>
  </w:style>
  <w:style w:type="table" w:customStyle="1" w:styleId="LightShading-Accent12">
    <w:name w:val="Light Shading - Accent 12"/>
    <w:basedOn w:val="TableNormal"/>
    <w:uiPriority w:val="60"/>
    <w:rsid w:val="00AD5C8A"/>
    <w:pPr>
      <w:spacing w:after="0" w:line="240" w:lineRule="auto"/>
    </w:pPr>
    <w:rPr>
      <w:rFonts w:ascii="Calibri" w:eastAsia="Calibri" w:hAnsi="Calibri" w:cs="Times New Roman"/>
      <w:color w:val="365F91" w:themeColor="accent1" w:themeShade="BF"/>
      <w:sz w:val="20"/>
      <w:szCs w:val="20"/>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1">
    <w:name w:val="Light List1"/>
    <w:basedOn w:val="TableNormal"/>
    <w:uiPriority w:val="61"/>
    <w:rsid w:val="00AD5C8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D5C8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AD5C8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BB0555"/>
    <w:rPr>
      <w:rFonts w:ascii="Tahoma" w:hAnsi="Tahoma" w:cs="Tahoma"/>
      <w:sz w:val="16"/>
      <w:szCs w:val="16"/>
    </w:rPr>
  </w:style>
  <w:style w:type="paragraph" w:styleId="NormalWeb">
    <w:name w:val="Normal (Web)"/>
    <w:basedOn w:val="Normal"/>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uiPriority w:val="9"/>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uiPriority w:val="99"/>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uiPriority w:val="99"/>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uiPriority w:val="99"/>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99"/>
    <w:rsid w:val="005F74FB"/>
    <w:rPr>
      <w:rFonts w:ascii="Arial" w:eastAsia="Arial Unicode MS" w:hAnsi="Arial" w:cs="Arial"/>
      <w:sz w:val="24"/>
      <w:szCs w:val="20"/>
      <w:lang w:val="id-ID"/>
    </w:rPr>
  </w:style>
  <w:style w:type="character" w:customStyle="1" w:styleId="ListParagraphChar">
    <w:name w:val="List Paragraph Char"/>
    <w:basedOn w:val="DefaultParagraphFont"/>
    <w:link w:val="ListParagraph"/>
    <w:uiPriority w:val="34"/>
    <w:locked/>
    <w:rsid w:val="003647D0"/>
    <w:rPr>
      <w:rFonts w:ascii="Times New Roman" w:eastAsia="Times New Roman" w:hAnsi="Times New Roman" w:cs="Times New Roman"/>
      <w:sz w:val="24"/>
      <w:szCs w:val="24"/>
    </w:rPr>
  </w:style>
  <w:style w:type="table" w:styleId="LightShading-Accent5">
    <w:name w:val="Light Shading Accent 5"/>
    <w:basedOn w:val="TableNormal"/>
    <w:uiPriority w:val="60"/>
    <w:rsid w:val="00922064"/>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Grid3-Accent1">
    <w:name w:val="Medium Grid 3 Accent 1"/>
    <w:basedOn w:val="TableNormal"/>
    <w:uiPriority w:val="69"/>
    <w:rsid w:val="009220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2-Accent5">
    <w:name w:val="Medium Grid 2 Accent 5"/>
    <w:basedOn w:val="TableNormal"/>
    <w:uiPriority w:val="68"/>
    <w:rsid w:val="00FC09E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3-Accent5">
    <w:name w:val="Medium Grid 3 Accent 5"/>
    <w:basedOn w:val="TableNormal"/>
    <w:uiPriority w:val="69"/>
    <w:rsid w:val="00FC09E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fullpost">
    <w:name w:val="fullpost"/>
    <w:basedOn w:val="DefaultParagraphFont"/>
    <w:rsid w:val="00AD5C8A"/>
  </w:style>
  <w:style w:type="character" w:customStyle="1" w:styleId="DocumentMapChar1">
    <w:name w:val="Document Map Char1"/>
    <w:uiPriority w:val="99"/>
    <w:semiHidden/>
    <w:rsid w:val="00AD5C8A"/>
    <w:rPr>
      <w:rFonts w:ascii="Tahoma" w:hAnsi="Tahoma" w:cs="Tahoma"/>
      <w:sz w:val="16"/>
      <w:szCs w:val="16"/>
      <w:lang w:val="en-US" w:eastAsia="en-US"/>
    </w:rPr>
  </w:style>
  <w:style w:type="character" w:customStyle="1" w:styleId="FootnoteTextChar1">
    <w:name w:val="Footnote Text Char1"/>
    <w:uiPriority w:val="99"/>
    <w:semiHidden/>
    <w:rsid w:val="00AD5C8A"/>
    <w:rPr>
      <w:lang w:val="en-US" w:eastAsia="en-US"/>
    </w:rPr>
  </w:style>
  <w:style w:type="table" w:styleId="LightShading-Accent3">
    <w:name w:val="Light Shading Accent 3"/>
    <w:basedOn w:val="TableNormal"/>
    <w:uiPriority w:val="60"/>
    <w:rsid w:val="00AD5C8A"/>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List1-Accent3">
    <w:name w:val="Medium List 1 Accent 3"/>
    <w:basedOn w:val="TableNormal"/>
    <w:uiPriority w:val="65"/>
    <w:rsid w:val="00AD5C8A"/>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LightShading-Accent11">
    <w:name w:val="Light Shading - Accent 11"/>
    <w:basedOn w:val="TableNormal"/>
    <w:uiPriority w:val="60"/>
    <w:rsid w:val="00AD5C8A"/>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style-span">
    <w:name w:val="apple-style-span"/>
    <w:basedOn w:val="DefaultParagraphFont"/>
    <w:rsid w:val="00AD5C8A"/>
  </w:style>
  <w:style w:type="table" w:customStyle="1" w:styleId="LightShading-Accent12">
    <w:name w:val="Light Shading - Accent 12"/>
    <w:basedOn w:val="TableNormal"/>
    <w:uiPriority w:val="60"/>
    <w:rsid w:val="00AD5C8A"/>
    <w:pPr>
      <w:spacing w:after="0" w:line="240" w:lineRule="auto"/>
    </w:pPr>
    <w:rPr>
      <w:rFonts w:ascii="Calibri" w:eastAsia="Calibri" w:hAnsi="Calibri" w:cs="Times New Roman"/>
      <w:color w:val="365F91" w:themeColor="accent1" w:themeShade="BF"/>
      <w:sz w:val="20"/>
      <w:szCs w:val="20"/>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1">
    <w:name w:val="Light List1"/>
    <w:basedOn w:val="TableNormal"/>
    <w:uiPriority w:val="61"/>
    <w:rsid w:val="00AD5C8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D5C8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AD5C8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061832">
      <w:bodyDiv w:val="1"/>
      <w:marLeft w:val="0"/>
      <w:marRight w:val="0"/>
      <w:marTop w:val="0"/>
      <w:marBottom w:val="0"/>
      <w:divBdr>
        <w:top w:val="none" w:sz="0" w:space="0" w:color="auto"/>
        <w:left w:val="none" w:sz="0" w:space="0" w:color="auto"/>
        <w:bottom w:val="none" w:sz="0" w:space="0" w:color="auto"/>
        <w:right w:val="none" w:sz="0" w:space="0" w:color="auto"/>
      </w:divBdr>
    </w:div>
    <w:div w:id="463691903">
      <w:bodyDiv w:val="1"/>
      <w:marLeft w:val="0"/>
      <w:marRight w:val="0"/>
      <w:marTop w:val="0"/>
      <w:marBottom w:val="0"/>
      <w:divBdr>
        <w:top w:val="none" w:sz="0" w:space="0" w:color="auto"/>
        <w:left w:val="none" w:sz="0" w:space="0" w:color="auto"/>
        <w:bottom w:val="none" w:sz="0" w:space="0" w:color="auto"/>
        <w:right w:val="none" w:sz="0" w:space="0" w:color="auto"/>
      </w:divBdr>
    </w:div>
    <w:div w:id="569654390">
      <w:bodyDiv w:val="1"/>
      <w:marLeft w:val="0"/>
      <w:marRight w:val="0"/>
      <w:marTop w:val="0"/>
      <w:marBottom w:val="0"/>
      <w:divBdr>
        <w:top w:val="none" w:sz="0" w:space="0" w:color="auto"/>
        <w:left w:val="none" w:sz="0" w:space="0" w:color="auto"/>
        <w:bottom w:val="none" w:sz="0" w:space="0" w:color="auto"/>
        <w:right w:val="none" w:sz="0" w:space="0" w:color="auto"/>
      </w:divBdr>
    </w:div>
    <w:div w:id="688071553">
      <w:bodyDiv w:val="1"/>
      <w:marLeft w:val="0"/>
      <w:marRight w:val="0"/>
      <w:marTop w:val="0"/>
      <w:marBottom w:val="0"/>
      <w:divBdr>
        <w:top w:val="none" w:sz="0" w:space="0" w:color="auto"/>
        <w:left w:val="none" w:sz="0" w:space="0" w:color="auto"/>
        <w:bottom w:val="none" w:sz="0" w:space="0" w:color="auto"/>
        <w:right w:val="none" w:sz="0" w:space="0" w:color="auto"/>
      </w:divBdr>
    </w:div>
    <w:div w:id="723911603">
      <w:bodyDiv w:val="1"/>
      <w:marLeft w:val="0"/>
      <w:marRight w:val="0"/>
      <w:marTop w:val="0"/>
      <w:marBottom w:val="0"/>
      <w:divBdr>
        <w:top w:val="none" w:sz="0" w:space="0" w:color="auto"/>
        <w:left w:val="none" w:sz="0" w:space="0" w:color="auto"/>
        <w:bottom w:val="none" w:sz="0" w:space="0" w:color="auto"/>
        <w:right w:val="none" w:sz="0" w:space="0" w:color="auto"/>
      </w:divBdr>
    </w:div>
    <w:div w:id="799030271">
      <w:bodyDiv w:val="1"/>
      <w:marLeft w:val="0"/>
      <w:marRight w:val="0"/>
      <w:marTop w:val="0"/>
      <w:marBottom w:val="0"/>
      <w:divBdr>
        <w:top w:val="none" w:sz="0" w:space="0" w:color="auto"/>
        <w:left w:val="none" w:sz="0" w:space="0" w:color="auto"/>
        <w:bottom w:val="none" w:sz="0" w:space="0" w:color="auto"/>
        <w:right w:val="none" w:sz="0" w:space="0" w:color="auto"/>
      </w:divBdr>
    </w:div>
    <w:div w:id="821964498">
      <w:bodyDiv w:val="1"/>
      <w:marLeft w:val="0"/>
      <w:marRight w:val="0"/>
      <w:marTop w:val="0"/>
      <w:marBottom w:val="0"/>
      <w:divBdr>
        <w:top w:val="none" w:sz="0" w:space="0" w:color="auto"/>
        <w:left w:val="none" w:sz="0" w:space="0" w:color="auto"/>
        <w:bottom w:val="none" w:sz="0" w:space="0" w:color="auto"/>
        <w:right w:val="none" w:sz="0" w:space="0" w:color="auto"/>
      </w:divBdr>
    </w:div>
    <w:div w:id="983705151">
      <w:bodyDiv w:val="1"/>
      <w:marLeft w:val="0"/>
      <w:marRight w:val="0"/>
      <w:marTop w:val="0"/>
      <w:marBottom w:val="0"/>
      <w:divBdr>
        <w:top w:val="none" w:sz="0" w:space="0" w:color="auto"/>
        <w:left w:val="none" w:sz="0" w:space="0" w:color="auto"/>
        <w:bottom w:val="none" w:sz="0" w:space="0" w:color="auto"/>
        <w:right w:val="none" w:sz="0" w:space="0" w:color="auto"/>
      </w:divBdr>
    </w:div>
    <w:div w:id="1025323424">
      <w:bodyDiv w:val="1"/>
      <w:marLeft w:val="0"/>
      <w:marRight w:val="0"/>
      <w:marTop w:val="0"/>
      <w:marBottom w:val="0"/>
      <w:divBdr>
        <w:top w:val="none" w:sz="0" w:space="0" w:color="auto"/>
        <w:left w:val="none" w:sz="0" w:space="0" w:color="auto"/>
        <w:bottom w:val="none" w:sz="0" w:space="0" w:color="auto"/>
        <w:right w:val="none" w:sz="0" w:space="0" w:color="auto"/>
      </w:divBdr>
    </w:div>
    <w:div w:id="1132334683">
      <w:bodyDiv w:val="1"/>
      <w:marLeft w:val="0"/>
      <w:marRight w:val="0"/>
      <w:marTop w:val="0"/>
      <w:marBottom w:val="0"/>
      <w:divBdr>
        <w:top w:val="none" w:sz="0" w:space="0" w:color="auto"/>
        <w:left w:val="none" w:sz="0" w:space="0" w:color="auto"/>
        <w:bottom w:val="none" w:sz="0" w:space="0" w:color="auto"/>
        <w:right w:val="none" w:sz="0" w:space="0" w:color="auto"/>
      </w:divBdr>
    </w:div>
    <w:div w:id="1183322216">
      <w:bodyDiv w:val="1"/>
      <w:marLeft w:val="0"/>
      <w:marRight w:val="0"/>
      <w:marTop w:val="0"/>
      <w:marBottom w:val="0"/>
      <w:divBdr>
        <w:top w:val="none" w:sz="0" w:space="0" w:color="auto"/>
        <w:left w:val="none" w:sz="0" w:space="0" w:color="auto"/>
        <w:bottom w:val="none" w:sz="0" w:space="0" w:color="auto"/>
        <w:right w:val="none" w:sz="0" w:space="0" w:color="auto"/>
      </w:divBdr>
    </w:div>
    <w:div w:id="1208298611">
      <w:bodyDiv w:val="1"/>
      <w:marLeft w:val="0"/>
      <w:marRight w:val="0"/>
      <w:marTop w:val="0"/>
      <w:marBottom w:val="0"/>
      <w:divBdr>
        <w:top w:val="none" w:sz="0" w:space="0" w:color="auto"/>
        <w:left w:val="none" w:sz="0" w:space="0" w:color="auto"/>
        <w:bottom w:val="none" w:sz="0" w:space="0" w:color="auto"/>
        <w:right w:val="none" w:sz="0" w:space="0" w:color="auto"/>
      </w:divBdr>
    </w:div>
    <w:div w:id="1279681966">
      <w:bodyDiv w:val="1"/>
      <w:marLeft w:val="0"/>
      <w:marRight w:val="0"/>
      <w:marTop w:val="0"/>
      <w:marBottom w:val="0"/>
      <w:divBdr>
        <w:top w:val="none" w:sz="0" w:space="0" w:color="auto"/>
        <w:left w:val="none" w:sz="0" w:space="0" w:color="auto"/>
        <w:bottom w:val="none" w:sz="0" w:space="0" w:color="auto"/>
        <w:right w:val="none" w:sz="0" w:space="0" w:color="auto"/>
      </w:divBdr>
    </w:div>
    <w:div w:id="1287664168">
      <w:bodyDiv w:val="1"/>
      <w:marLeft w:val="0"/>
      <w:marRight w:val="0"/>
      <w:marTop w:val="0"/>
      <w:marBottom w:val="0"/>
      <w:divBdr>
        <w:top w:val="none" w:sz="0" w:space="0" w:color="auto"/>
        <w:left w:val="none" w:sz="0" w:space="0" w:color="auto"/>
        <w:bottom w:val="none" w:sz="0" w:space="0" w:color="auto"/>
        <w:right w:val="none" w:sz="0" w:space="0" w:color="auto"/>
      </w:divBdr>
    </w:div>
    <w:div w:id="1291131751">
      <w:bodyDiv w:val="1"/>
      <w:marLeft w:val="0"/>
      <w:marRight w:val="0"/>
      <w:marTop w:val="0"/>
      <w:marBottom w:val="0"/>
      <w:divBdr>
        <w:top w:val="none" w:sz="0" w:space="0" w:color="auto"/>
        <w:left w:val="none" w:sz="0" w:space="0" w:color="auto"/>
        <w:bottom w:val="none" w:sz="0" w:space="0" w:color="auto"/>
        <w:right w:val="none" w:sz="0" w:space="0" w:color="auto"/>
      </w:divBdr>
    </w:div>
    <w:div w:id="1345941975">
      <w:bodyDiv w:val="1"/>
      <w:marLeft w:val="0"/>
      <w:marRight w:val="0"/>
      <w:marTop w:val="0"/>
      <w:marBottom w:val="0"/>
      <w:divBdr>
        <w:top w:val="none" w:sz="0" w:space="0" w:color="auto"/>
        <w:left w:val="none" w:sz="0" w:space="0" w:color="auto"/>
        <w:bottom w:val="none" w:sz="0" w:space="0" w:color="auto"/>
        <w:right w:val="none" w:sz="0" w:space="0" w:color="auto"/>
      </w:divBdr>
    </w:div>
    <w:div w:id="1552690042">
      <w:bodyDiv w:val="1"/>
      <w:marLeft w:val="0"/>
      <w:marRight w:val="0"/>
      <w:marTop w:val="0"/>
      <w:marBottom w:val="0"/>
      <w:divBdr>
        <w:top w:val="none" w:sz="0" w:space="0" w:color="auto"/>
        <w:left w:val="none" w:sz="0" w:space="0" w:color="auto"/>
        <w:bottom w:val="none" w:sz="0" w:space="0" w:color="auto"/>
        <w:right w:val="none" w:sz="0" w:space="0" w:color="auto"/>
      </w:divBdr>
    </w:div>
    <w:div w:id="1562600531">
      <w:bodyDiv w:val="1"/>
      <w:marLeft w:val="0"/>
      <w:marRight w:val="0"/>
      <w:marTop w:val="0"/>
      <w:marBottom w:val="0"/>
      <w:divBdr>
        <w:top w:val="none" w:sz="0" w:space="0" w:color="auto"/>
        <w:left w:val="none" w:sz="0" w:space="0" w:color="auto"/>
        <w:bottom w:val="none" w:sz="0" w:space="0" w:color="auto"/>
        <w:right w:val="none" w:sz="0" w:space="0" w:color="auto"/>
      </w:divBdr>
    </w:div>
    <w:div w:id="1609699085">
      <w:bodyDiv w:val="1"/>
      <w:marLeft w:val="0"/>
      <w:marRight w:val="0"/>
      <w:marTop w:val="0"/>
      <w:marBottom w:val="0"/>
      <w:divBdr>
        <w:top w:val="none" w:sz="0" w:space="0" w:color="auto"/>
        <w:left w:val="none" w:sz="0" w:space="0" w:color="auto"/>
        <w:bottom w:val="none" w:sz="0" w:space="0" w:color="auto"/>
        <w:right w:val="none" w:sz="0" w:space="0" w:color="auto"/>
      </w:divBdr>
    </w:div>
    <w:div w:id="1706903085">
      <w:bodyDiv w:val="1"/>
      <w:marLeft w:val="0"/>
      <w:marRight w:val="0"/>
      <w:marTop w:val="0"/>
      <w:marBottom w:val="0"/>
      <w:divBdr>
        <w:top w:val="none" w:sz="0" w:space="0" w:color="auto"/>
        <w:left w:val="none" w:sz="0" w:space="0" w:color="auto"/>
        <w:bottom w:val="none" w:sz="0" w:space="0" w:color="auto"/>
        <w:right w:val="none" w:sz="0" w:space="0" w:color="auto"/>
      </w:divBdr>
    </w:div>
    <w:div w:id="1734308406">
      <w:bodyDiv w:val="1"/>
      <w:marLeft w:val="0"/>
      <w:marRight w:val="0"/>
      <w:marTop w:val="0"/>
      <w:marBottom w:val="0"/>
      <w:divBdr>
        <w:top w:val="none" w:sz="0" w:space="0" w:color="auto"/>
        <w:left w:val="none" w:sz="0" w:space="0" w:color="auto"/>
        <w:bottom w:val="none" w:sz="0" w:space="0" w:color="auto"/>
        <w:right w:val="none" w:sz="0" w:space="0" w:color="auto"/>
      </w:divBdr>
    </w:div>
    <w:div w:id="1778987547">
      <w:bodyDiv w:val="1"/>
      <w:marLeft w:val="0"/>
      <w:marRight w:val="0"/>
      <w:marTop w:val="0"/>
      <w:marBottom w:val="0"/>
      <w:divBdr>
        <w:top w:val="none" w:sz="0" w:space="0" w:color="auto"/>
        <w:left w:val="none" w:sz="0" w:space="0" w:color="auto"/>
        <w:bottom w:val="none" w:sz="0" w:space="0" w:color="auto"/>
        <w:right w:val="none" w:sz="0" w:space="0" w:color="auto"/>
      </w:divBdr>
    </w:div>
    <w:div w:id="1859343660">
      <w:bodyDiv w:val="1"/>
      <w:marLeft w:val="0"/>
      <w:marRight w:val="0"/>
      <w:marTop w:val="0"/>
      <w:marBottom w:val="0"/>
      <w:divBdr>
        <w:top w:val="none" w:sz="0" w:space="0" w:color="auto"/>
        <w:left w:val="none" w:sz="0" w:space="0" w:color="auto"/>
        <w:bottom w:val="none" w:sz="0" w:space="0" w:color="auto"/>
        <w:right w:val="none" w:sz="0" w:space="0" w:color="auto"/>
      </w:divBdr>
    </w:div>
    <w:div w:id="1967272014">
      <w:bodyDiv w:val="1"/>
      <w:marLeft w:val="0"/>
      <w:marRight w:val="0"/>
      <w:marTop w:val="0"/>
      <w:marBottom w:val="0"/>
      <w:divBdr>
        <w:top w:val="none" w:sz="0" w:space="0" w:color="auto"/>
        <w:left w:val="none" w:sz="0" w:space="0" w:color="auto"/>
        <w:bottom w:val="none" w:sz="0" w:space="0" w:color="auto"/>
        <w:right w:val="none" w:sz="0" w:space="0" w:color="auto"/>
      </w:divBdr>
    </w:div>
    <w:div w:id="2013023689">
      <w:bodyDiv w:val="1"/>
      <w:marLeft w:val="0"/>
      <w:marRight w:val="0"/>
      <w:marTop w:val="0"/>
      <w:marBottom w:val="0"/>
      <w:divBdr>
        <w:top w:val="none" w:sz="0" w:space="0" w:color="auto"/>
        <w:left w:val="none" w:sz="0" w:space="0" w:color="auto"/>
        <w:bottom w:val="none" w:sz="0" w:space="0" w:color="auto"/>
        <w:right w:val="none" w:sz="0" w:space="0" w:color="auto"/>
      </w:divBdr>
    </w:div>
    <w:div w:id="2120948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chart" Target="charts/chart2.xm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1" Type="http://schemas.openxmlformats.org/officeDocument/2006/relationships/oleObject" Target="file:///E:\dokumen\RKPD\!!!!!!!!!!!Lia%20RKPD%202016\Dokumen\RKPD%202016%20fix\analisa%20rkpd%202016%20LRA%20Smt%201%20201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a:solidFill>
                  <a:sysClr val="windowText" lastClr="000000"/>
                </a:solidFill>
              </a:defRPr>
            </a:pPr>
            <a:r>
              <a:rPr lang="en-US">
                <a:solidFill>
                  <a:sysClr val="windowText" lastClr="000000"/>
                </a:solidFill>
              </a:rPr>
              <a:t>Gambar 3.1 </a:t>
            </a:r>
          </a:p>
          <a:p>
            <a:pPr algn="l">
              <a:defRPr>
                <a:solidFill>
                  <a:sysClr val="windowText" lastClr="000000"/>
                </a:solidFill>
              </a:defRPr>
            </a:pPr>
            <a:r>
              <a:rPr lang="en-US">
                <a:solidFill>
                  <a:sysClr val="windowText" lastClr="000000"/>
                </a:solidFill>
              </a:rPr>
              <a:t>PERKEMBANGAN</a:t>
            </a:r>
          </a:p>
          <a:p>
            <a:pPr algn="l">
              <a:defRPr>
                <a:solidFill>
                  <a:sysClr val="windowText" lastClr="000000"/>
                </a:solidFill>
              </a:defRPr>
            </a:pPr>
            <a:r>
              <a:rPr lang="en-US">
                <a:solidFill>
                  <a:sysClr val="windowText" lastClr="000000"/>
                </a:solidFill>
              </a:rPr>
              <a:t>PENDAPATAN</a:t>
            </a:r>
          </a:p>
          <a:p>
            <a:pPr algn="l">
              <a:defRPr>
                <a:solidFill>
                  <a:sysClr val="windowText" lastClr="000000"/>
                </a:solidFill>
              </a:defRPr>
            </a:pPr>
            <a:r>
              <a:rPr lang="en-US">
                <a:solidFill>
                  <a:sysClr val="windowText" lastClr="000000"/>
                </a:solidFill>
              </a:rPr>
              <a:t>PERKAPITA</a:t>
            </a:r>
          </a:p>
        </c:rich>
      </c:tx>
      <c:layout>
        <c:manualLayout>
          <c:xMode val="edge"/>
          <c:yMode val="edge"/>
          <c:x val="1.7601748446419901E-2"/>
          <c:y val="5.1261285138675942E-2"/>
        </c:manualLayout>
      </c:layout>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0.34262602579132473"/>
          <c:y val="5.2585139682422524E-2"/>
          <c:w val="0.65737397420867527"/>
          <c:h val="0.53625399934266571"/>
        </c:manualLayout>
      </c:layout>
      <c:bar3DChart>
        <c:barDir val="col"/>
        <c:grouping val="clustered"/>
        <c:varyColors val="0"/>
        <c:ser>
          <c:idx val="0"/>
          <c:order val="0"/>
          <c:tx>
            <c:strRef>
              <c:f>RKED!$D$107</c:f>
              <c:strCache>
                <c:ptCount val="1"/>
                <c:pt idx="0">
                  <c:v>pendapatan perkapita nominal</c:v>
                </c:pt>
              </c:strCache>
            </c:strRef>
          </c:tx>
          <c:invertIfNegative val="0"/>
          <c:cat>
            <c:numRef>
              <c:f>RKED!$E$106:$G$106</c:f>
              <c:numCache>
                <c:formatCode>General</c:formatCode>
                <c:ptCount val="3"/>
                <c:pt idx="0">
                  <c:v>2013</c:v>
                </c:pt>
                <c:pt idx="1">
                  <c:v>2014</c:v>
                </c:pt>
                <c:pt idx="2">
                  <c:v>2015</c:v>
                </c:pt>
              </c:numCache>
            </c:numRef>
          </c:cat>
          <c:val>
            <c:numRef>
              <c:f>RKED!$E$107:$G$107</c:f>
              <c:numCache>
                <c:formatCode>_(* #,##0.00_);_(* \(#,##0.00\);_(* "-"_);_(@_)</c:formatCode>
                <c:ptCount val="3"/>
                <c:pt idx="0">
                  <c:v>30602877</c:v>
                </c:pt>
                <c:pt idx="1">
                  <c:v>35147382.909198925</c:v>
                </c:pt>
                <c:pt idx="2">
                  <c:v>39305318.307357155</c:v>
                </c:pt>
              </c:numCache>
            </c:numRef>
          </c:val>
        </c:ser>
        <c:ser>
          <c:idx val="1"/>
          <c:order val="1"/>
          <c:tx>
            <c:strRef>
              <c:f>RKED!$D$108</c:f>
              <c:strCache>
                <c:ptCount val="1"/>
                <c:pt idx="0">
                  <c:v>pendapatan perkapita riil</c:v>
                </c:pt>
              </c:strCache>
            </c:strRef>
          </c:tx>
          <c:invertIfNegative val="0"/>
          <c:cat>
            <c:numRef>
              <c:f>RKED!$E$106:$G$106</c:f>
              <c:numCache>
                <c:formatCode>General</c:formatCode>
                <c:ptCount val="3"/>
                <c:pt idx="0">
                  <c:v>2013</c:v>
                </c:pt>
                <c:pt idx="1">
                  <c:v>2014</c:v>
                </c:pt>
                <c:pt idx="2">
                  <c:v>2015</c:v>
                </c:pt>
              </c:numCache>
            </c:numRef>
          </c:cat>
          <c:val>
            <c:numRef>
              <c:f>RKED!$E$108:$G$108</c:f>
              <c:numCache>
                <c:formatCode>_(* #,##0.00_);_(* \(#,##0.00\);_(* "-"??_);_(@_)</c:formatCode>
                <c:ptCount val="3"/>
                <c:pt idx="0">
                  <c:v>29336519.742630884</c:v>
                </c:pt>
                <c:pt idx="1">
                  <c:v>30602876.85249364</c:v>
                </c:pt>
                <c:pt idx="2">
                  <c:v>33058461.943630375</c:v>
                </c:pt>
              </c:numCache>
            </c:numRef>
          </c:val>
        </c:ser>
        <c:dLbls>
          <c:showLegendKey val="0"/>
          <c:showVal val="0"/>
          <c:showCatName val="0"/>
          <c:showSerName val="0"/>
          <c:showPercent val="0"/>
          <c:showBubbleSize val="0"/>
        </c:dLbls>
        <c:gapWidth val="150"/>
        <c:shape val="box"/>
        <c:axId val="242770304"/>
        <c:axId val="243453952"/>
        <c:axId val="0"/>
      </c:bar3DChart>
      <c:catAx>
        <c:axId val="242770304"/>
        <c:scaling>
          <c:orientation val="minMax"/>
        </c:scaling>
        <c:delete val="0"/>
        <c:axPos val="b"/>
        <c:numFmt formatCode="General" sourceLinked="1"/>
        <c:majorTickMark val="out"/>
        <c:minorTickMark val="none"/>
        <c:tickLblPos val="nextTo"/>
        <c:crossAx val="243453952"/>
        <c:crosses val="autoZero"/>
        <c:auto val="1"/>
        <c:lblAlgn val="ctr"/>
        <c:lblOffset val="100"/>
        <c:noMultiLvlLbl val="0"/>
      </c:catAx>
      <c:valAx>
        <c:axId val="243453952"/>
        <c:scaling>
          <c:orientation val="minMax"/>
          <c:max val="40000000"/>
          <c:min val="0"/>
        </c:scaling>
        <c:delete val="0"/>
        <c:axPos val="l"/>
        <c:majorGridlines/>
        <c:numFmt formatCode="_(* #,##0.00_);_(* \(#,##0.00\);_(* &quot;-&quot;_);_(@_)" sourceLinked="1"/>
        <c:majorTickMark val="out"/>
        <c:minorTickMark val="none"/>
        <c:tickLblPos val="nextTo"/>
        <c:crossAx val="242770304"/>
        <c:crosses val="autoZero"/>
        <c:crossBetween val="between"/>
        <c:majorUnit val="10000000"/>
        <c:minorUnit val="1000000"/>
      </c:valAx>
      <c:dTable>
        <c:showHorzBorder val="1"/>
        <c:showVertBorder val="1"/>
        <c:showOutline val="1"/>
        <c:showKeys val="1"/>
        <c:txPr>
          <a:bodyPr/>
          <a:lstStyle/>
          <a:p>
            <a:pPr rtl="0">
              <a:defRPr b="1"/>
            </a:pPr>
            <a:endParaRPr lang="en-US"/>
          </a:p>
        </c:txPr>
      </c:dTable>
    </c:plotArea>
    <c:plotVisOnly val="1"/>
    <c:dispBlanksAs val="gap"/>
    <c:showDLblsOverMax val="0"/>
  </c:chart>
  <c:txPr>
    <a:bodyPr/>
    <a:lstStyle/>
    <a:p>
      <a:pPr>
        <a:defRPr sz="800">
          <a:latin typeface="Century Gothic"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081998942309334E-2"/>
          <c:y val="7.4763614256142183E-2"/>
          <c:w val="0.94583600211538132"/>
          <c:h val="0.77537054978936604"/>
        </c:manualLayout>
      </c:layout>
      <c:lineChart>
        <c:grouping val="stacked"/>
        <c:varyColors val="0"/>
        <c:ser>
          <c:idx val="0"/>
          <c:order val="0"/>
          <c:tx>
            <c:strRef>
              <c:f>Sheet1!$P$63</c:f>
              <c:strCache>
                <c:ptCount val="1"/>
                <c:pt idx="0">
                  <c:v>PDRB Deflator</c:v>
                </c:pt>
              </c:strCache>
            </c:strRef>
          </c:tx>
          <c:spPr>
            <a:ln w="31750" cap="rnd">
              <a:solidFill>
                <a:schemeClr val="accent1"/>
              </a:solidFill>
              <a:round/>
            </a:ln>
            <a:effectLst/>
          </c:spPr>
          <c:marker>
            <c:symbol val="circle"/>
            <c:size val="17"/>
            <c:spPr>
              <a:solidFill>
                <a:schemeClr val="accent1"/>
              </a:solidFill>
              <a:ln>
                <a:noFill/>
              </a:ln>
              <a:effectLst/>
            </c:spPr>
          </c:marker>
          <c:dLbls>
            <c:dLbl>
              <c:idx val="2"/>
              <c:tx>
                <c:rich>
                  <a:bodyPr/>
                  <a:lstStyle/>
                  <a:p>
                    <a:r>
                      <a:rPr lang="en-US"/>
                      <a:t>2,61</a:t>
                    </a:r>
                  </a:p>
                </c:rich>
              </c:tx>
              <c:dLblPos val="ctr"/>
              <c:showLegendKey val="0"/>
              <c:showVal val="1"/>
              <c:showCatName val="0"/>
              <c:showSerName val="0"/>
              <c:showPercent val="0"/>
              <c:showBubbleSize val="0"/>
            </c:dLbl>
            <c:dLbl>
              <c:idx val="3"/>
              <c:tx>
                <c:rich>
                  <a:bodyPr/>
                  <a:lstStyle/>
                  <a:p>
                    <a:r>
                      <a:rPr lang="en-US"/>
                      <a:t>2,65</a:t>
                    </a:r>
                  </a:p>
                </c:rich>
              </c:tx>
              <c:dLblPos val="ctr"/>
              <c:showLegendKey val="0"/>
              <c:showVal val="1"/>
              <c:showCatName val="0"/>
              <c:showSerName val="0"/>
              <c:showPercent val="0"/>
              <c:showBubbleSize val="0"/>
            </c:dLbl>
            <c:dLbl>
              <c:idx val="5"/>
              <c:tx>
                <c:rich>
                  <a:bodyPr/>
                  <a:lstStyle/>
                  <a:p>
                    <a:r>
                      <a:rPr lang="en-US"/>
                      <a:t>3,3</a:t>
                    </a:r>
                  </a:p>
                </c:rich>
              </c:tx>
              <c:dLblPos val="ct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Sheet1!$O$64:$O$70</c:f>
              <c:strCache>
                <c:ptCount val="7"/>
                <c:pt idx="0">
                  <c:v>2009</c:v>
                </c:pt>
                <c:pt idx="1">
                  <c:v>2010</c:v>
                </c:pt>
                <c:pt idx="2">
                  <c:v>2011</c:v>
                </c:pt>
                <c:pt idx="3">
                  <c:v>2012</c:v>
                </c:pt>
                <c:pt idx="4">
                  <c:v>2013</c:v>
                </c:pt>
                <c:pt idx="5">
                  <c:v>2014</c:v>
                </c:pt>
                <c:pt idx="6">
                  <c:v>2015*</c:v>
                </c:pt>
              </c:strCache>
            </c:strRef>
          </c:cat>
          <c:val>
            <c:numRef>
              <c:f>Sheet1!$P$64:$P$70</c:f>
              <c:numCache>
                <c:formatCode>0.00</c:formatCode>
                <c:ptCount val="7"/>
                <c:pt idx="0">
                  <c:v>2.68</c:v>
                </c:pt>
                <c:pt idx="1">
                  <c:v>2.73</c:v>
                </c:pt>
                <c:pt idx="2">
                  <c:v>2.8</c:v>
                </c:pt>
                <c:pt idx="3">
                  <c:v>2.89</c:v>
                </c:pt>
                <c:pt idx="4">
                  <c:v>2.99</c:v>
                </c:pt>
                <c:pt idx="5">
                  <c:v>3.34</c:v>
                </c:pt>
                <c:pt idx="6">
                  <c:v>0.19</c:v>
                </c:pt>
              </c:numCache>
            </c:numRef>
          </c:val>
          <c:smooth val="0"/>
        </c:ser>
        <c:ser>
          <c:idx val="1"/>
          <c:order val="1"/>
          <c:tx>
            <c:strRef>
              <c:f>Sheet1!$Q$63</c:f>
              <c:strCache>
                <c:ptCount val="1"/>
                <c:pt idx="0">
                  <c:v>IHK</c:v>
                </c:pt>
              </c:strCache>
            </c:strRef>
          </c:tx>
          <c:spPr>
            <a:ln w="31750" cap="rnd">
              <a:solidFill>
                <a:schemeClr val="accent2"/>
              </a:solidFill>
              <a:round/>
            </a:ln>
            <a:effectLst/>
          </c:spPr>
          <c:marker>
            <c:symbol val="circle"/>
            <c:size val="17"/>
            <c:spPr>
              <a:solidFill>
                <a:schemeClr val="accent2"/>
              </a:solidFill>
              <a:ln>
                <a:noFill/>
              </a:ln>
              <a:effectLst/>
            </c:spPr>
          </c:marker>
          <c:dLbls>
            <c:dLbl>
              <c:idx val="4"/>
              <c:tx>
                <c:rich>
                  <a:bodyPr/>
                  <a:lstStyle/>
                  <a:p>
                    <a:r>
                      <a:rPr lang="en-US"/>
                      <a:t>8,87</a:t>
                    </a:r>
                  </a:p>
                </c:rich>
              </c:tx>
              <c:dLblPos val="ctr"/>
              <c:showLegendKey val="0"/>
              <c:showVal val="1"/>
              <c:showCatName val="0"/>
              <c:showSerName val="0"/>
              <c:showPercent val="0"/>
              <c:showBubbleSize val="0"/>
            </c:dLbl>
            <c:dLbl>
              <c:idx val="6"/>
              <c:tx>
                <c:rich>
                  <a:bodyPr/>
                  <a:lstStyle/>
                  <a:p>
                    <a:r>
                      <a:rPr lang="en-US"/>
                      <a:t>9,10</a:t>
                    </a:r>
                  </a:p>
                </c:rich>
              </c:tx>
              <c:dLblPos val="ct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Sheet1!$O$64:$O$70</c:f>
              <c:strCache>
                <c:ptCount val="7"/>
                <c:pt idx="0">
                  <c:v>2009</c:v>
                </c:pt>
                <c:pt idx="1">
                  <c:v>2010</c:v>
                </c:pt>
                <c:pt idx="2">
                  <c:v>2011</c:v>
                </c:pt>
                <c:pt idx="3">
                  <c:v>2012</c:v>
                </c:pt>
                <c:pt idx="4">
                  <c:v>2013</c:v>
                </c:pt>
                <c:pt idx="5">
                  <c:v>2014</c:v>
                </c:pt>
                <c:pt idx="6">
                  <c:v>2015*</c:v>
                </c:pt>
              </c:strCache>
            </c:strRef>
          </c:cat>
          <c:val>
            <c:numRef>
              <c:f>Sheet1!$Q$64:$Q$70</c:f>
              <c:numCache>
                <c:formatCode>General</c:formatCode>
                <c:ptCount val="7"/>
                <c:pt idx="0">
                  <c:v>8.67</c:v>
                </c:pt>
                <c:pt idx="1">
                  <c:v>1.65</c:v>
                </c:pt>
                <c:pt idx="2">
                  <c:v>2.74</c:v>
                </c:pt>
                <c:pt idx="3">
                  <c:v>3.1</c:v>
                </c:pt>
                <c:pt idx="4">
                  <c:v>7.39</c:v>
                </c:pt>
                <c:pt idx="5">
                  <c:v>11.37</c:v>
                </c:pt>
                <c:pt idx="6">
                  <c:v>10.55</c:v>
                </c:pt>
              </c:numCache>
            </c:numRef>
          </c:val>
          <c:smooth val="0"/>
        </c:ser>
        <c:dLbls>
          <c:dLblPos val="ctr"/>
          <c:showLegendKey val="0"/>
          <c:showVal val="1"/>
          <c:showCatName val="0"/>
          <c:showSerName val="0"/>
          <c:showPercent val="0"/>
          <c:showBubbleSize val="0"/>
        </c:dLbls>
        <c:marker val="1"/>
        <c:smooth val="0"/>
        <c:axId val="243702400"/>
        <c:axId val="253243776"/>
      </c:lineChart>
      <c:catAx>
        <c:axId val="24370240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253243776"/>
        <c:crosses val="autoZero"/>
        <c:auto val="1"/>
        <c:lblAlgn val="ctr"/>
        <c:lblOffset val="100"/>
        <c:noMultiLvlLbl val="0"/>
      </c:catAx>
      <c:valAx>
        <c:axId val="25324377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crossAx val="243702400"/>
        <c:crosses val="autoZero"/>
        <c:crossBetween val="between"/>
      </c:valAx>
      <c:spPr>
        <a:noFill/>
        <a:ln>
          <a:noFill/>
        </a:ln>
        <a:effectLst/>
      </c:spPr>
    </c:plotArea>
    <c:legend>
      <c:legendPos val="b"/>
      <c:layout>
        <c:manualLayout>
          <c:xMode val="edge"/>
          <c:yMode val="edge"/>
          <c:x val="0.19333670020288457"/>
          <c:y val="0.10350021678969258"/>
          <c:w val="0.33264192954583127"/>
          <c:h val="0.1147186819186690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Sheet2!$K$160</c:f>
              <c:strCache>
                <c:ptCount val="1"/>
                <c:pt idx="0">
                  <c:v>Tingkat Pengangguran Terbuka (%)</c:v>
                </c:pt>
              </c:strCache>
            </c:strRef>
          </c:tx>
          <c:spPr>
            <a:ln w="38100"/>
          </c:spPr>
          <c:marker>
            <c:symbol val="square"/>
            <c:size val="8"/>
            <c:spPr>
              <a:solidFill>
                <a:srgbClr val="FF0000"/>
              </a:solidFill>
              <a:ln w="38100">
                <a:solidFill>
                  <a:srgbClr val="FF0000"/>
                </a:solidFill>
              </a:ln>
              <a:scene3d>
                <a:camera prst="orthographicFront"/>
                <a:lightRig rig="threePt" dir="t"/>
              </a:scene3d>
              <a:sp3d>
                <a:bevelT w="165100" prst="coolSlant"/>
              </a:sp3d>
            </c:spPr>
          </c:marker>
          <c:dLbls>
            <c:txPr>
              <a:bodyPr/>
              <a:lstStyle/>
              <a:p>
                <a:pPr>
                  <a:defRPr sz="1200" b="1">
                    <a:solidFill>
                      <a:schemeClr val="bg1"/>
                    </a:solidFill>
                    <a:latin typeface="Berlin Sans FB" pitchFamily="34" charset="0"/>
                  </a:defRPr>
                </a:pPr>
                <a:endParaRPr lang="en-US"/>
              </a:p>
            </c:txPr>
            <c:dLblPos val="t"/>
            <c:showLegendKey val="0"/>
            <c:showVal val="1"/>
            <c:showCatName val="0"/>
            <c:showSerName val="0"/>
            <c:showPercent val="0"/>
            <c:showBubbleSize val="0"/>
            <c:showLeaderLines val="0"/>
          </c:dLbls>
          <c:cat>
            <c:numRef>
              <c:f>Sheet2!$L$156:$P$156</c:f>
              <c:numCache>
                <c:formatCode>General</c:formatCode>
                <c:ptCount val="5"/>
                <c:pt idx="0">
                  <c:v>2010</c:v>
                </c:pt>
                <c:pt idx="1">
                  <c:v>2011</c:v>
                </c:pt>
                <c:pt idx="2">
                  <c:v>2012</c:v>
                </c:pt>
                <c:pt idx="3">
                  <c:v>2013</c:v>
                </c:pt>
                <c:pt idx="4">
                  <c:v>2014</c:v>
                </c:pt>
              </c:numCache>
            </c:numRef>
          </c:cat>
          <c:val>
            <c:numRef>
              <c:f>Sheet2!$L$160:$P$160</c:f>
              <c:numCache>
                <c:formatCode>General</c:formatCode>
                <c:ptCount val="5"/>
                <c:pt idx="0">
                  <c:v>9.1199999999999992</c:v>
                </c:pt>
                <c:pt idx="1">
                  <c:v>5.61</c:v>
                </c:pt>
                <c:pt idx="2">
                  <c:v>10.210000000000001</c:v>
                </c:pt>
                <c:pt idx="3">
                  <c:v>8.66</c:v>
                </c:pt>
                <c:pt idx="4" formatCode="0.00">
                  <c:v>6.7923444397411865</c:v>
                </c:pt>
              </c:numCache>
            </c:numRef>
          </c:val>
          <c:smooth val="0"/>
        </c:ser>
        <c:dLbls>
          <c:showLegendKey val="0"/>
          <c:showVal val="0"/>
          <c:showCatName val="0"/>
          <c:showSerName val="0"/>
          <c:showPercent val="0"/>
          <c:showBubbleSize val="0"/>
        </c:dLbls>
        <c:marker val="1"/>
        <c:smooth val="0"/>
        <c:axId val="253982592"/>
        <c:axId val="253984128"/>
      </c:lineChart>
      <c:catAx>
        <c:axId val="253982592"/>
        <c:scaling>
          <c:orientation val="minMax"/>
        </c:scaling>
        <c:delete val="0"/>
        <c:axPos val="b"/>
        <c:numFmt formatCode="General" sourceLinked="1"/>
        <c:majorTickMark val="out"/>
        <c:minorTickMark val="none"/>
        <c:tickLblPos val="nextTo"/>
        <c:txPr>
          <a:bodyPr/>
          <a:lstStyle/>
          <a:p>
            <a:pPr>
              <a:defRPr b="1">
                <a:latin typeface="Berlin Sans FB" pitchFamily="34" charset="0"/>
              </a:defRPr>
            </a:pPr>
            <a:endParaRPr lang="en-US"/>
          </a:p>
        </c:txPr>
        <c:crossAx val="253984128"/>
        <c:crosses val="autoZero"/>
        <c:auto val="1"/>
        <c:lblAlgn val="ctr"/>
        <c:lblOffset val="100"/>
        <c:noMultiLvlLbl val="0"/>
      </c:catAx>
      <c:valAx>
        <c:axId val="253984128"/>
        <c:scaling>
          <c:orientation val="minMax"/>
          <c:max val="20"/>
          <c:min val="0"/>
        </c:scaling>
        <c:delete val="0"/>
        <c:axPos val="l"/>
        <c:majorGridlines/>
        <c:numFmt formatCode="General" sourceLinked="1"/>
        <c:majorTickMark val="out"/>
        <c:minorTickMark val="none"/>
        <c:tickLblPos val="nextTo"/>
        <c:txPr>
          <a:bodyPr/>
          <a:lstStyle/>
          <a:p>
            <a:pPr>
              <a:defRPr b="1">
                <a:latin typeface="Berlin Sans FB" pitchFamily="34" charset="0"/>
              </a:defRPr>
            </a:pPr>
            <a:endParaRPr lang="en-US"/>
          </a:p>
        </c:txPr>
        <c:crossAx val="253982592"/>
        <c:crosses val="autoZero"/>
        <c:crossBetween val="between"/>
        <c:majorUnit val="5"/>
      </c:valAx>
      <c:spPr>
        <a:solidFill>
          <a:schemeClr val="accent5">
            <a:lumMod val="50000"/>
          </a:schemeClr>
        </a:solidFill>
      </c:spPr>
    </c:plotArea>
    <c:plotVisOnly val="1"/>
    <c:dispBlanksAs val="gap"/>
    <c:showDLblsOverMax val="0"/>
  </c:chart>
  <c:spPr>
    <a:solidFill>
      <a:schemeClr val="accent2">
        <a:lumMod val="40000"/>
        <a:lumOff val="60000"/>
      </a:schemeClr>
    </a:solidFill>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AC9D26-CBBA-4219-B7FA-FFC408D84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22</Pages>
  <Words>7118</Words>
  <Characters>40578</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Lia Muchlisi</cp:lastModifiedBy>
  <cp:revision>4</cp:revision>
  <cp:lastPrinted>2014-05-17T03:40:00Z</cp:lastPrinted>
  <dcterms:created xsi:type="dcterms:W3CDTF">2015-12-01T01:23:00Z</dcterms:created>
  <dcterms:modified xsi:type="dcterms:W3CDTF">2015-12-01T01:30:00Z</dcterms:modified>
</cp:coreProperties>
</file>